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47185" w14:textId="42064AC6" w:rsidR="00882EF1" w:rsidRPr="00920BBC" w:rsidRDefault="00920BBC" w:rsidP="00882EF1">
      <w:pPr>
        <w:pStyle w:val="Title"/>
        <w:jc w:val="center"/>
        <w:rPr>
          <w:rFonts w:ascii="Arial" w:hAnsi="Arial" w:cs="Arial"/>
          <w:b/>
          <w:bCs/>
          <w:sz w:val="24"/>
          <w:szCs w:val="24"/>
        </w:rPr>
      </w:pPr>
      <w:r w:rsidRPr="00920BBC">
        <w:rPr>
          <w:rFonts w:ascii="Arial" w:hAnsi="Arial" w:cs="Arial"/>
          <w:b/>
          <w:bCs/>
          <w:sz w:val="24"/>
          <w:szCs w:val="24"/>
        </w:rPr>
        <w:t>Terms of Reference</w:t>
      </w:r>
      <w:r w:rsidRPr="00920BBC">
        <w:rPr>
          <w:rFonts w:ascii="Arial" w:hAnsi="Arial" w:cs="Arial"/>
          <w:b/>
          <w:bCs/>
          <w:sz w:val="24"/>
          <w:szCs w:val="24"/>
        </w:rPr>
        <w:br/>
      </w:r>
      <w:r w:rsidR="00E07DA9" w:rsidRPr="00920BBC">
        <w:rPr>
          <w:rFonts w:ascii="Arial" w:hAnsi="Arial" w:cs="Arial"/>
          <w:b/>
          <w:bCs/>
          <w:sz w:val="24"/>
          <w:szCs w:val="24"/>
        </w:rPr>
        <w:t xml:space="preserve">NATIONAL </w:t>
      </w:r>
      <w:r w:rsidR="00B1337A" w:rsidRPr="00920BBC">
        <w:rPr>
          <w:rFonts w:ascii="Arial" w:hAnsi="Arial" w:cs="Arial"/>
          <w:b/>
          <w:bCs/>
          <w:sz w:val="24"/>
          <w:szCs w:val="24"/>
        </w:rPr>
        <w:t xml:space="preserve">POLICY ADVISOR </w:t>
      </w:r>
      <w:r w:rsidR="009B6DA2">
        <w:rPr>
          <w:rFonts w:ascii="Arial" w:hAnsi="Arial" w:cs="Arial"/>
          <w:b/>
          <w:bCs/>
          <w:sz w:val="24"/>
          <w:szCs w:val="24"/>
        </w:rPr>
        <w:t>ON</w:t>
      </w:r>
      <w:r w:rsidR="00B1337A" w:rsidRPr="00920BBC">
        <w:rPr>
          <w:rFonts w:ascii="Arial" w:hAnsi="Arial" w:cs="Arial"/>
          <w:b/>
          <w:bCs/>
          <w:sz w:val="24"/>
          <w:szCs w:val="24"/>
        </w:rPr>
        <w:t xml:space="preserve"> DIGITALIZATION</w:t>
      </w:r>
    </w:p>
    <w:p w14:paraId="15DA711D" w14:textId="77777777" w:rsidR="00882EF1" w:rsidRPr="00920BBC" w:rsidRDefault="00882EF1" w:rsidP="00882EF1">
      <w:pPr>
        <w:pStyle w:val="Title"/>
        <w:jc w:val="center"/>
        <w:rPr>
          <w:rFonts w:ascii="Arial" w:hAnsi="Arial" w:cs="Arial"/>
          <w:b/>
          <w:bCs/>
          <w:sz w:val="24"/>
          <w:szCs w:val="24"/>
        </w:rPr>
      </w:pPr>
      <w:r w:rsidRPr="00920BBC">
        <w:rPr>
          <w:rFonts w:ascii="Arial" w:hAnsi="Arial" w:cs="Arial"/>
          <w:b/>
          <w:bCs/>
          <w:sz w:val="24"/>
          <w:szCs w:val="24"/>
        </w:rPr>
        <w:t xml:space="preserve">to support the Ministry of Health in the implementation </w:t>
      </w:r>
    </w:p>
    <w:p w14:paraId="6F7EF36A" w14:textId="2F060AD6" w:rsidR="00F31633" w:rsidRPr="00920BBC" w:rsidRDefault="00882EF1" w:rsidP="00882EF1">
      <w:pPr>
        <w:pStyle w:val="Title"/>
        <w:jc w:val="center"/>
        <w:rPr>
          <w:rFonts w:ascii="Arial" w:hAnsi="Arial" w:cs="Arial"/>
          <w:b/>
          <w:bCs/>
          <w:sz w:val="24"/>
          <w:szCs w:val="24"/>
        </w:rPr>
      </w:pPr>
      <w:r w:rsidRPr="00920BBC">
        <w:rPr>
          <w:rFonts w:ascii="Arial" w:hAnsi="Arial" w:cs="Arial"/>
          <w:b/>
          <w:bCs/>
          <w:sz w:val="24"/>
          <w:szCs w:val="24"/>
        </w:rPr>
        <w:t>of the Universal Health Coverage reforms</w:t>
      </w:r>
    </w:p>
    <w:p w14:paraId="744D096A" w14:textId="01349AD7" w:rsidR="00F31633" w:rsidRPr="00952AB3" w:rsidRDefault="00920BBC" w:rsidP="00952AB3">
      <w:pPr>
        <w:pStyle w:val="Heading2"/>
        <w:rPr>
          <w:rFonts w:ascii="Arial" w:hAnsi="Arial" w:cs="Arial"/>
          <w:b/>
          <w:bCs/>
          <w:sz w:val="20"/>
          <w:szCs w:val="20"/>
        </w:rPr>
      </w:pPr>
      <w:r w:rsidRPr="00952AB3">
        <w:rPr>
          <w:rFonts w:ascii="Arial" w:hAnsi="Arial" w:cs="Arial"/>
          <w:b/>
          <w:bCs/>
          <w:sz w:val="20"/>
          <w:szCs w:val="20"/>
        </w:rPr>
        <w:t>Background</w:t>
      </w:r>
    </w:p>
    <w:p w14:paraId="60432A14" w14:textId="77777777" w:rsidR="00FB7AE8" w:rsidRPr="00EB5959" w:rsidRDefault="00FB7AE8" w:rsidP="00FB7AE8">
      <w:pPr>
        <w:jc w:val="both"/>
        <w:rPr>
          <w:rFonts w:ascii="Arial" w:hAnsi="Arial" w:cs="Arial"/>
          <w:sz w:val="20"/>
          <w:szCs w:val="20"/>
        </w:rPr>
      </w:pPr>
      <w:r w:rsidRPr="00EB5959">
        <w:rPr>
          <w:rFonts w:ascii="Arial" w:hAnsi="Arial" w:cs="Arial"/>
          <w:sz w:val="20"/>
          <w:szCs w:val="20"/>
        </w:rPr>
        <w:t>Over the last decade, the Republic of Moldova has advanced reforms aimed at strengthening universal health coverage (UHC). Switzerland has supported these efforts through evidence generation and targeted reforms in service delivery, health financing, social accountability, and improved access to healthcare for vulnerable groups.</w:t>
      </w:r>
    </w:p>
    <w:p w14:paraId="4A50D1C8" w14:textId="066F5B69" w:rsidR="00FB7AE8" w:rsidRPr="00EB5959" w:rsidRDefault="00FB7AE8" w:rsidP="00FB7AE8">
      <w:pPr>
        <w:jc w:val="both"/>
        <w:rPr>
          <w:rFonts w:ascii="Arial" w:hAnsi="Arial" w:cs="Arial"/>
          <w:sz w:val="20"/>
          <w:szCs w:val="20"/>
        </w:rPr>
      </w:pPr>
      <w:r w:rsidRPr="00EB5959">
        <w:rPr>
          <w:rFonts w:ascii="Arial" w:hAnsi="Arial" w:cs="Arial"/>
          <w:sz w:val="20"/>
          <w:szCs w:val="20"/>
        </w:rPr>
        <w:t>Since 2018, Switzerland has partnered with the World Bank (WB) and the Swiss Red Cross (SRC) to support Moldova’s efforts to advance UHC</w:t>
      </w:r>
      <w:r w:rsidR="00E07DA9">
        <w:rPr>
          <w:rFonts w:ascii="Arial" w:hAnsi="Arial" w:cs="Arial"/>
          <w:sz w:val="20"/>
          <w:szCs w:val="20"/>
        </w:rPr>
        <w:t xml:space="preserve"> via the Project </w:t>
      </w:r>
      <w:r w:rsidR="00E07DA9" w:rsidRPr="007F5C54">
        <w:rPr>
          <w:rFonts w:ascii="Arial" w:hAnsi="Arial" w:cs="Arial"/>
          <w:sz w:val="20"/>
          <w:szCs w:val="20"/>
        </w:rPr>
        <w:t>“</w:t>
      </w:r>
      <w:r w:rsidR="00E07DA9" w:rsidRPr="007F5C54">
        <w:rPr>
          <w:rFonts w:ascii="Arial" w:hAnsi="Arial" w:cs="Arial"/>
          <w:sz w:val="20"/>
          <w:szCs w:val="20"/>
          <w:lang w:val="en-GB" w:eastAsia="zh-CN"/>
        </w:rPr>
        <w:t>Progressing towards Universal Health Coverage in Moldova</w:t>
      </w:r>
      <w:r w:rsidR="00E07DA9" w:rsidRPr="007F5C54">
        <w:rPr>
          <w:rFonts w:ascii="Arial" w:hAnsi="Arial" w:cs="Arial"/>
          <w:sz w:val="20"/>
          <w:szCs w:val="20"/>
        </w:rPr>
        <w:t>” (in short: the Project)</w:t>
      </w:r>
      <w:r w:rsidRPr="00EB5959">
        <w:rPr>
          <w:rFonts w:ascii="Arial" w:hAnsi="Arial" w:cs="Arial"/>
          <w:sz w:val="20"/>
          <w:szCs w:val="20"/>
        </w:rPr>
        <w:t xml:space="preserve">. The first phase of Swiss support focused on generating evidence and policy recommendations to inform health system reforms, including improving service delivery, aligning financial allocations with performance, revising the health benefits package, and piloting social accountability mechanisms in health institutions. The second (current) phase of the </w:t>
      </w:r>
      <w:r w:rsidR="00E07DA9">
        <w:rPr>
          <w:rFonts w:ascii="Arial" w:hAnsi="Arial" w:cs="Arial"/>
          <w:sz w:val="20"/>
          <w:szCs w:val="20"/>
        </w:rPr>
        <w:t>P</w:t>
      </w:r>
      <w:r w:rsidRPr="00EB5959">
        <w:rPr>
          <w:rFonts w:ascii="Arial" w:hAnsi="Arial" w:cs="Arial"/>
          <w:sz w:val="20"/>
          <w:szCs w:val="20"/>
        </w:rPr>
        <w:t>roject focuses on the implementation of selected health system reforms, particularly addressing service fragmentation, resource distribution, access to quality healthcare for vulnerable groups, and scaling up social accountability mechanisms at national level.</w:t>
      </w:r>
    </w:p>
    <w:p w14:paraId="49DD02D0" w14:textId="4FC64896" w:rsidR="00FB7AE8" w:rsidRPr="00EB5959" w:rsidRDefault="00FB7AE8" w:rsidP="00FB7AE8">
      <w:pPr>
        <w:jc w:val="both"/>
        <w:rPr>
          <w:rFonts w:ascii="Arial" w:hAnsi="Arial" w:cs="Arial"/>
          <w:sz w:val="20"/>
          <w:szCs w:val="20"/>
        </w:rPr>
      </w:pPr>
      <w:r w:rsidRPr="00EB5959">
        <w:rPr>
          <w:rFonts w:ascii="Arial" w:hAnsi="Arial" w:cs="Arial"/>
          <w:sz w:val="20"/>
          <w:szCs w:val="20"/>
        </w:rPr>
        <w:t>In parallel, Moldova has approved the National Program for Digitalization and Innovation in Health 2025–2030, which sets the strategic framework for developing a modern, interoperable, and citizen-</w:t>
      </w:r>
      <w:r w:rsidR="00B1337A" w:rsidRPr="00EB5959">
        <w:rPr>
          <w:rFonts w:ascii="Arial" w:hAnsi="Arial" w:cs="Arial"/>
          <w:sz w:val="20"/>
          <w:szCs w:val="20"/>
        </w:rPr>
        <w:t>centered</w:t>
      </w:r>
      <w:r w:rsidRPr="00EB5959">
        <w:rPr>
          <w:rFonts w:ascii="Arial" w:hAnsi="Arial" w:cs="Arial"/>
          <w:sz w:val="20"/>
          <w:szCs w:val="20"/>
        </w:rPr>
        <w:t xml:space="preserve"> digital health ecosystem. The Program foresees the development of a national digital health architecture, the implementation of the Electronic Health Record (</w:t>
      </w:r>
      <w:r w:rsidR="00B1337A" w:rsidRPr="00EB5959">
        <w:rPr>
          <w:rFonts w:ascii="Arial" w:hAnsi="Arial" w:cs="Arial"/>
          <w:sz w:val="20"/>
          <w:szCs w:val="20"/>
        </w:rPr>
        <w:t>EHR</w:t>
      </w:r>
      <w:r w:rsidRPr="00EB5959">
        <w:rPr>
          <w:rFonts w:ascii="Arial" w:hAnsi="Arial" w:cs="Arial"/>
          <w:sz w:val="20"/>
          <w:szCs w:val="20"/>
        </w:rPr>
        <w:t>), strengthened digital governance structures, and improved interoperability, data governance, and cybersecurity across the health sector.</w:t>
      </w:r>
    </w:p>
    <w:p w14:paraId="2C2029D7" w14:textId="77777777" w:rsidR="00FB7AE8" w:rsidRPr="00EB5959" w:rsidRDefault="00FB7AE8" w:rsidP="00FB7AE8">
      <w:pPr>
        <w:jc w:val="both"/>
        <w:rPr>
          <w:rFonts w:ascii="Arial" w:hAnsi="Arial" w:cs="Arial"/>
          <w:sz w:val="20"/>
          <w:szCs w:val="20"/>
        </w:rPr>
      </w:pPr>
      <w:r w:rsidRPr="00EB5959">
        <w:rPr>
          <w:rFonts w:ascii="Arial" w:hAnsi="Arial" w:cs="Arial"/>
          <w:sz w:val="20"/>
          <w:szCs w:val="20"/>
        </w:rPr>
        <w:t>The implementation of UHC-related reforms increasingly depends on functional digital enablers, including reliable data flows, interoperable information systems, and digital tools for monitoring access, quality, performance, and accountability. Without these enablers, policy reforms risk remaining only partially implemented or difficult to sustain.</w:t>
      </w:r>
    </w:p>
    <w:p w14:paraId="20E709C7" w14:textId="6309F6B5" w:rsidR="00FB7AE8" w:rsidRPr="00EB5959" w:rsidRDefault="00FB7AE8" w:rsidP="00FB7AE8">
      <w:pPr>
        <w:jc w:val="both"/>
        <w:rPr>
          <w:rFonts w:ascii="Arial" w:hAnsi="Arial" w:cs="Arial"/>
          <w:sz w:val="20"/>
          <w:szCs w:val="20"/>
        </w:rPr>
      </w:pPr>
      <w:r w:rsidRPr="00EB5959">
        <w:rPr>
          <w:rFonts w:ascii="Arial" w:hAnsi="Arial" w:cs="Arial"/>
          <w:sz w:val="20"/>
          <w:szCs w:val="20"/>
        </w:rPr>
        <w:t>In this context, and in line with Switzerland’s mandate to focus on policy, governance, and system design rather than investments in software or IT equipment, Switzerland will fund a seconded Policy Advisor on Digitalization, embedded within the Ministry of Health</w:t>
      </w:r>
      <w:r w:rsidR="00B7306F" w:rsidRPr="00EB5959">
        <w:rPr>
          <w:rFonts w:ascii="Arial" w:hAnsi="Arial" w:cs="Arial"/>
          <w:sz w:val="20"/>
          <w:szCs w:val="20"/>
        </w:rPr>
        <w:t xml:space="preserve"> (MoH)</w:t>
      </w:r>
      <w:r w:rsidRPr="00EB5959">
        <w:rPr>
          <w:rFonts w:ascii="Arial" w:hAnsi="Arial" w:cs="Arial"/>
          <w:sz w:val="20"/>
          <w:szCs w:val="20"/>
        </w:rPr>
        <w:t>. The Advisor’s role is to support the operationalization of UHC reforms by strengthening digital governance, system design, interoperability, and data use, in alignment with the National Program for Digitalization and Innovation in Health</w:t>
      </w:r>
      <w:r w:rsidR="00E07DA9">
        <w:rPr>
          <w:rFonts w:ascii="Arial" w:hAnsi="Arial" w:cs="Arial"/>
          <w:sz w:val="20"/>
          <w:szCs w:val="20"/>
        </w:rPr>
        <w:t xml:space="preserve"> 2025–2030</w:t>
      </w:r>
      <w:r w:rsidRPr="00EB5959">
        <w:rPr>
          <w:rFonts w:ascii="Arial" w:hAnsi="Arial" w:cs="Arial"/>
          <w:sz w:val="20"/>
          <w:szCs w:val="20"/>
        </w:rPr>
        <w:t>.</w:t>
      </w:r>
    </w:p>
    <w:p w14:paraId="2BBEE7EB" w14:textId="22A0D220" w:rsidR="00FB7AE8" w:rsidRPr="00EB5959" w:rsidRDefault="00FB7AE8" w:rsidP="00FB7AE8">
      <w:pPr>
        <w:jc w:val="both"/>
        <w:rPr>
          <w:rFonts w:ascii="Arial" w:hAnsi="Arial" w:cs="Arial"/>
          <w:sz w:val="20"/>
          <w:szCs w:val="20"/>
        </w:rPr>
      </w:pPr>
      <w:r w:rsidRPr="00EB5959">
        <w:rPr>
          <w:rFonts w:ascii="Arial" w:hAnsi="Arial" w:cs="Arial"/>
          <w:sz w:val="20"/>
          <w:szCs w:val="20"/>
        </w:rPr>
        <w:t xml:space="preserve">The Policy Advisor on Digitalization will work in close coordination with </w:t>
      </w:r>
      <w:r w:rsidR="00920BBC">
        <w:rPr>
          <w:rFonts w:ascii="Arial" w:hAnsi="Arial" w:cs="Arial"/>
          <w:sz w:val="20"/>
          <w:szCs w:val="20"/>
        </w:rPr>
        <w:t>another</w:t>
      </w:r>
      <w:r w:rsidR="009B6DA2">
        <w:rPr>
          <w:rFonts w:ascii="Arial" w:hAnsi="Arial" w:cs="Arial"/>
          <w:sz w:val="20"/>
          <w:szCs w:val="20"/>
        </w:rPr>
        <w:t xml:space="preserve"> </w:t>
      </w:r>
      <w:r w:rsidRPr="00EB5959">
        <w:rPr>
          <w:rFonts w:ascii="Arial" w:hAnsi="Arial" w:cs="Arial"/>
          <w:sz w:val="20"/>
          <w:szCs w:val="20"/>
        </w:rPr>
        <w:t>Policy Advisor</w:t>
      </w:r>
      <w:r w:rsidR="009B6DA2">
        <w:rPr>
          <w:rFonts w:ascii="Arial" w:hAnsi="Arial" w:cs="Arial"/>
          <w:sz w:val="20"/>
          <w:szCs w:val="20"/>
        </w:rPr>
        <w:t xml:space="preserve"> (Policy Advisor on UHC, also to be funded by Switzerland)</w:t>
      </w:r>
      <w:r w:rsidRPr="00EB5959">
        <w:rPr>
          <w:rFonts w:ascii="Arial" w:hAnsi="Arial" w:cs="Arial"/>
          <w:sz w:val="20"/>
          <w:szCs w:val="20"/>
        </w:rPr>
        <w:t xml:space="preserve">, as well as with relevant MoH departments and </w:t>
      </w:r>
      <w:r w:rsidR="009B6DA2">
        <w:rPr>
          <w:rFonts w:ascii="Arial" w:hAnsi="Arial" w:cs="Arial"/>
          <w:sz w:val="20"/>
          <w:szCs w:val="20"/>
        </w:rPr>
        <w:t>the P</w:t>
      </w:r>
      <w:r w:rsidRPr="00EB5959">
        <w:rPr>
          <w:rFonts w:ascii="Arial" w:hAnsi="Arial" w:cs="Arial"/>
          <w:sz w:val="20"/>
          <w:szCs w:val="20"/>
        </w:rPr>
        <w:t>roject implementation partners</w:t>
      </w:r>
      <w:r w:rsidR="009B6DA2">
        <w:rPr>
          <w:rFonts w:ascii="Arial" w:hAnsi="Arial" w:cs="Arial"/>
          <w:sz w:val="20"/>
          <w:szCs w:val="20"/>
        </w:rPr>
        <w:t xml:space="preserve"> WB and SRC</w:t>
      </w:r>
      <w:r w:rsidRPr="00EB5959">
        <w:rPr>
          <w:rFonts w:ascii="Arial" w:hAnsi="Arial" w:cs="Arial"/>
          <w:sz w:val="20"/>
          <w:szCs w:val="20"/>
        </w:rPr>
        <w:t xml:space="preserve">. While the Policy Advisor </w:t>
      </w:r>
      <w:r w:rsidR="009B6DA2">
        <w:rPr>
          <w:rFonts w:ascii="Arial" w:hAnsi="Arial" w:cs="Arial"/>
          <w:sz w:val="20"/>
          <w:szCs w:val="20"/>
        </w:rPr>
        <w:t xml:space="preserve">on UHC </w:t>
      </w:r>
      <w:r w:rsidRPr="00EB5959">
        <w:rPr>
          <w:rFonts w:ascii="Arial" w:hAnsi="Arial" w:cs="Arial"/>
          <w:sz w:val="20"/>
          <w:szCs w:val="20"/>
        </w:rPr>
        <w:t xml:space="preserve">leads on policy content, regulatory frameworks, and reform design, the Policy Advisor </w:t>
      </w:r>
      <w:r w:rsidR="009B6DA2">
        <w:rPr>
          <w:rFonts w:ascii="Arial" w:hAnsi="Arial" w:cs="Arial"/>
          <w:sz w:val="20"/>
          <w:szCs w:val="20"/>
        </w:rPr>
        <w:t xml:space="preserve">on Digitalization </w:t>
      </w:r>
      <w:r w:rsidRPr="00EB5959">
        <w:rPr>
          <w:rFonts w:ascii="Arial" w:hAnsi="Arial" w:cs="Arial"/>
          <w:sz w:val="20"/>
          <w:szCs w:val="20"/>
        </w:rPr>
        <w:t>ensures that the necessary digital and data-related enablers are in place to support implementation, monitoring, and sustainability of these reforms. This complementary arrangement ensures that Swiss-supported UHC reforms are both well designed and effectively implemented within Moldova’s evolving health system.</w:t>
      </w:r>
    </w:p>
    <w:p w14:paraId="3B7F4FD1" w14:textId="6273D5AE" w:rsidR="00F31633" w:rsidRPr="00952AB3" w:rsidRDefault="00920BBC" w:rsidP="00952AB3">
      <w:pPr>
        <w:pStyle w:val="Heading2"/>
        <w:rPr>
          <w:rFonts w:ascii="Arial" w:hAnsi="Arial" w:cs="Arial"/>
          <w:b/>
          <w:bCs/>
          <w:sz w:val="20"/>
          <w:szCs w:val="20"/>
        </w:rPr>
      </w:pPr>
      <w:r w:rsidRPr="00952AB3">
        <w:rPr>
          <w:rFonts w:ascii="Arial" w:hAnsi="Arial" w:cs="Arial"/>
          <w:b/>
          <w:bCs/>
          <w:sz w:val="20"/>
          <w:szCs w:val="20"/>
        </w:rPr>
        <w:t>Objective of the Assignment</w:t>
      </w:r>
    </w:p>
    <w:p w14:paraId="1E25E463" w14:textId="61FD60FF" w:rsidR="00F31633" w:rsidRPr="00EB5959" w:rsidRDefault="00920BBC" w:rsidP="00A31F33">
      <w:pPr>
        <w:jc w:val="both"/>
        <w:rPr>
          <w:rFonts w:ascii="Arial" w:hAnsi="Arial" w:cs="Arial"/>
          <w:sz w:val="20"/>
          <w:szCs w:val="20"/>
        </w:rPr>
      </w:pPr>
      <w:r w:rsidRPr="00EB5959">
        <w:rPr>
          <w:rFonts w:ascii="Arial" w:hAnsi="Arial" w:cs="Arial"/>
          <w:sz w:val="20"/>
          <w:szCs w:val="20"/>
        </w:rPr>
        <w:t xml:space="preserve">The </w:t>
      </w:r>
      <w:r w:rsidR="009B6DA2">
        <w:rPr>
          <w:rFonts w:ascii="Arial" w:hAnsi="Arial" w:cs="Arial"/>
          <w:sz w:val="20"/>
          <w:szCs w:val="20"/>
        </w:rPr>
        <w:t>Policy</w:t>
      </w:r>
      <w:r w:rsidRPr="00EB5959">
        <w:rPr>
          <w:rFonts w:ascii="Arial" w:hAnsi="Arial" w:cs="Arial"/>
          <w:sz w:val="20"/>
          <w:szCs w:val="20"/>
        </w:rPr>
        <w:t xml:space="preserve"> Advisor </w:t>
      </w:r>
      <w:r w:rsidR="009B6DA2">
        <w:rPr>
          <w:rFonts w:ascii="Arial" w:hAnsi="Arial" w:cs="Arial"/>
          <w:sz w:val="20"/>
          <w:szCs w:val="20"/>
        </w:rPr>
        <w:t xml:space="preserve">on Digitalization </w:t>
      </w:r>
      <w:r w:rsidRPr="00EB5959">
        <w:rPr>
          <w:rFonts w:ascii="Arial" w:hAnsi="Arial" w:cs="Arial"/>
          <w:sz w:val="20"/>
          <w:szCs w:val="20"/>
        </w:rPr>
        <w:t xml:space="preserve">supports the </w:t>
      </w:r>
      <w:r w:rsidR="00B7306F" w:rsidRPr="00EB5959">
        <w:rPr>
          <w:rFonts w:ascii="Arial" w:hAnsi="Arial" w:cs="Arial"/>
          <w:sz w:val="20"/>
          <w:szCs w:val="20"/>
        </w:rPr>
        <w:t>MoH</w:t>
      </w:r>
      <w:r w:rsidRPr="00EB5959">
        <w:rPr>
          <w:rFonts w:ascii="Arial" w:hAnsi="Arial" w:cs="Arial"/>
          <w:sz w:val="20"/>
          <w:szCs w:val="20"/>
        </w:rPr>
        <w:t xml:space="preserve"> in translating UHC-related policy recommendations into implementable reforms by ensuring that digital systems, governance structures, interoperability frameworks, and data flows are aligned with both the UHC policy agenda and the National Program for Digitalization and Innovation in Health 2025–2030.</w:t>
      </w:r>
    </w:p>
    <w:p w14:paraId="4DE42E90" w14:textId="507F0741" w:rsidR="00F31633" w:rsidRPr="00EB5959" w:rsidRDefault="00920BBC" w:rsidP="00A31F33">
      <w:pPr>
        <w:jc w:val="both"/>
        <w:rPr>
          <w:rFonts w:ascii="Arial" w:hAnsi="Arial" w:cs="Arial"/>
          <w:sz w:val="20"/>
          <w:szCs w:val="20"/>
        </w:rPr>
      </w:pPr>
      <w:r w:rsidRPr="00EB5959">
        <w:rPr>
          <w:rFonts w:ascii="Arial" w:hAnsi="Arial" w:cs="Arial"/>
          <w:sz w:val="20"/>
          <w:szCs w:val="20"/>
        </w:rPr>
        <w:lastRenderedPageBreak/>
        <w:t>The</w:t>
      </w:r>
      <w:r w:rsidR="004A69C2" w:rsidRPr="00EB5959">
        <w:rPr>
          <w:rFonts w:ascii="Arial" w:hAnsi="Arial" w:cs="Arial"/>
          <w:sz w:val="20"/>
          <w:szCs w:val="20"/>
        </w:rPr>
        <w:t xml:space="preserve"> </w:t>
      </w:r>
      <w:r w:rsidR="009B6DA2">
        <w:rPr>
          <w:rFonts w:ascii="Arial" w:hAnsi="Arial" w:cs="Arial"/>
          <w:sz w:val="20"/>
          <w:szCs w:val="20"/>
        </w:rPr>
        <w:t>Policy</w:t>
      </w:r>
      <w:r w:rsidRPr="00EB5959">
        <w:rPr>
          <w:rFonts w:ascii="Arial" w:hAnsi="Arial" w:cs="Arial"/>
          <w:sz w:val="20"/>
          <w:szCs w:val="20"/>
        </w:rPr>
        <w:t xml:space="preserve"> Advisor </w:t>
      </w:r>
      <w:r w:rsidR="009B6DA2">
        <w:rPr>
          <w:rFonts w:ascii="Arial" w:hAnsi="Arial" w:cs="Arial"/>
          <w:sz w:val="20"/>
          <w:szCs w:val="20"/>
        </w:rPr>
        <w:t xml:space="preserve">on Digitalization </w:t>
      </w:r>
      <w:r w:rsidRPr="00EB5959">
        <w:rPr>
          <w:rFonts w:ascii="Arial" w:hAnsi="Arial" w:cs="Arial"/>
          <w:sz w:val="20"/>
          <w:szCs w:val="20"/>
        </w:rPr>
        <w:t>focuses on digital governance, system design, interoperability, and institutional capacity, without engaging in procurement or software development.</w:t>
      </w:r>
    </w:p>
    <w:p w14:paraId="45DB34A3" w14:textId="57F4EA8A" w:rsidR="00F31633" w:rsidRPr="00EB5959" w:rsidRDefault="00920BBC" w:rsidP="00952AB3">
      <w:pPr>
        <w:pStyle w:val="Heading2"/>
        <w:rPr>
          <w:rFonts w:ascii="Arial" w:hAnsi="Arial" w:cs="Arial"/>
          <w:sz w:val="20"/>
          <w:szCs w:val="20"/>
        </w:rPr>
      </w:pPr>
      <w:r w:rsidRPr="00EB5959">
        <w:rPr>
          <w:rFonts w:ascii="Arial" w:hAnsi="Arial" w:cs="Arial"/>
          <w:sz w:val="20"/>
          <w:szCs w:val="20"/>
        </w:rPr>
        <w:t xml:space="preserve">Key </w:t>
      </w:r>
      <w:r w:rsidRPr="00952AB3">
        <w:rPr>
          <w:rFonts w:ascii="Arial" w:hAnsi="Arial" w:cs="Arial"/>
          <w:b/>
          <w:bCs/>
          <w:sz w:val="20"/>
          <w:szCs w:val="20"/>
        </w:rPr>
        <w:t>Responsibilities</w:t>
      </w:r>
    </w:p>
    <w:tbl>
      <w:tblPr>
        <w:tblStyle w:val="TableGrid"/>
        <w:tblW w:w="0" w:type="auto"/>
        <w:tblLook w:val="04A0" w:firstRow="1" w:lastRow="0" w:firstColumn="1" w:lastColumn="0" w:noHBand="0" w:noVBand="1"/>
      </w:tblPr>
      <w:tblGrid>
        <w:gridCol w:w="7225"/>
        <w:gridCol w:w="1405"/>
      </w:tblGrid>
      <w:tr w:rsidR="00882EF1" w:rsidRPr="00EB5959" w14:paraId="51C8A474" w14:textId="77777777" w:rsidTr="00952AB3">
        <w:tc>
          <w:tcPr>
            <w:tcW w:w="7225" w:type="dxa"/>
          </w:tcPr>
          <w:p w14:paraId="7E225A29" w14:textId="21D909A6" w:rsidR="00882EF1" w:rsidRPr="00EB5959" w:rsidRDefault="00882EF1" w:rsidP="001B1F6B">
            <w:pPr>
              <w:rPr>
                <w:rFonts w:ascii="Arial" w:hAnsi="Arial" w:cs="Arial"/>
                <w:b/>
                <w:bCs/>
                <w:sz w:val="20"/>
                <w:szCs w:val="20"/>
              </w:rPr>
            </w:pPr>
            <w:r w:rsidRPr="00EB5959">
              <w:rPr>
                <w:rFonts w:ascii="Arial" w:hAnsi="Arial" w:cs="Arial"/>
                <w:b/>
                <w:bCs/>
                <w:sz w:val="20"/>
                <w:szCs w:val="20"/>
              </w:rPr>
              <w:t>Task</w:t>
            </w:r>
            <w:r w:rsidR="00B7306F" w:rsidRPr="00EB5959">
              <w:rPr>
                <w:rFonts w:ascii="Arial" w:hAnsi="Arial" w:cs="Arial"/>
                <w:b/>
                <w:bCs/>
                <w:sz w:val="20"/>
                <w:szCs w:val="20"/>
              </w:rPr>
              <w:t>s &amp; Deliverables</w:t>
            </w:r>
          </w:p>
        </w:tc>
        <w:tc>
          <w:tcPr>
            <w:tcW w:w="1405" w:type="dxa"/>
          </w:tcPr>
          <w:p w14:paraId="06E9C8CA" w14:textId="04D81A6C" w:rsidR="00882EF1" w:rsidRPr="00EB5959" w:rsidRDefault="00882EF1" w:rsidP="00882EF1">
            <w:pPr>
              <w:rPr>
                <w:rFonts w:ascii="Arial" w:hAnsi="Arial" w:cs="Arial"/>
                <w:b/>
                <w:bCs/>
                <w:sz w:val="20"/>
                <w:szCs w:val="20"/>
              </w:rPr>
            </w:pPr>
            <w:r w:rsidRPr="00EB5959">
              <w:rPr>
                <w:rFonts w:ascii="Arial" w:hAnsi="Arial" w:cs="Arial"/>
                <w:b/>
                <w:bCs/>
                <w:sz w:val="20"/>
                <w:szCs w:val="20"/>
              </w:rPr>
              <w:t>Full working days (fwd)</w:t>
            </w:r>
            <w:r w:rsidRPr="00EB5959">
              <w:rPr>
                <w:rStyle w:val="FootnoteReference"/>
                <w:rFonts w:ascii="Arial" w:hAnsi="Arial" w:cs="Arial"/>
                <w:b/>
                <w:bCs/>
                <w:sz w:val="20"/>
                <w:szCs w:val="20"/>
              </w:rPr>
              <w:footnoteReference w:id="1"/>
            </w:r>
          </w:p>
        </w:tc>
      </w:tr>
      <w:tr w:rsidR="00882EF1" w:rsidRPr="00EB5959" w14:paraId="596AEE38" w14:textId="2151B5A5" w:rsidTr="00952AB3">
        <w:tc>
          <w:tcPr>
            <w:tcW w:w="7225" w:type="dxa"/>
          </w:tcPr>
          <w:p w14:paraId="7C1C014D" w14:textId="77777777" w:rsidR="00882EF1" w:rsidRPr="00EB5959" w:rsidRDefault="00882EF1" w:rsidP="00882EF1">
            <w:pPr>
              <w:spacing w:before="120" w:after="120"/>
              <w:rPr>
                <w:rFonts w:ascii="Arial" w:hAnsi="Arial" w:cs="Arial"/>
                <w:b/>
                <w:bCs/>
                <w:sz w:val="20"/>
                <w:szCs w:val="20"/>
              </w:rPr>
            </w:pPr>
            <w:r w:rsidRPr="00EB5959">
              <w:rPr>
                <w:rFonts w:ascii="Arial" w:hAnsi="Arial" w:cs="Arial"/>
                <w:b/>
                <w:bCs/>
                <w:sz w:val="20"/>
                <w:szCs w:val="20"/>
              </w:rPr>
              <w:t>A. Digital Governance, Architecture and System Design</w:t>
            </w:r>
          </w:p>
        </w:tc>
        <w:tc>
          <w:tcPr>
            <w:tcW w:w="1405" w:type="dxa"/>
            <w:vMerge w:val="restart"/>
            <w:vAlign w:val="center"/>
          </w:tcPr>
          <w:p w14:paraId="56B249FD" w14:textId="63C9CDE5" w:rsidR="00882EF1" w:rsidRPr="00EB5959" w:rsidRDefault="00F865C3" w:rsidP="00120940">
            <w:pPr>
              <w:jc w:val="center"/>
              <w:rPr>
                <w:rFonts w:ascii="Arial" w:hAnsi="Arial" w:cs="Arial"/>
                <w:sz w:val="20"/>
                <w:szCs w:val="20"/>
              </w:rPr>
            </w:pPr>
            <w:r w:rsidRPr="00EB5959">
              <w:rPr>
                <w:rFonts w:ascii="Arial" w:hAnsi="Arial" w:cs="Arial"/>
                <w:sz w:val="20"/>
                <w:szCs w:val="20"/>
              </w:rPr>
              <w:t>1</w:t>
            </w:r>
            <w:r w:rsidR="00920BBC">
              <w:rPr>
                <w:rFonts w:ascii="Arial" w:hAnsi="Arial" w:cs="Arial"/>
                <w:sz w:val="20"/>
                <w:szCs w:val="20"/>
              </w:rPr>
              <w:t>0</w:t>
            </w:r>
            <w:r w:rsidRPr="00EB5959">
              <w:rPr>
                <w:rFonts w:ascii="Arial" w:hAnsi="Arial" w:cs="Arial"/>
                <w:sz w:val="20"/>
                <w:szCs w:val="20"/>
              </w:rPr>
              <w:t>0</w:t>
            </w:r>
          </w:p>
        </w:tc>
      </w:tr>
      <w:tr w:rsidR="00882EF1" w:rsidRPr="00EB5959" w14:paraId="50E109CC" w14:textId="385BB989" w:rsidTr="00952AB3">
        <w:tc>
          <w:tcPr>
            <w:tcW w:w="7225" w:type="dxa"/>
          </w:tcPr>
          <w:p w14:paraId="6A1E4906" w14:textId="77777777" w:rsidR="00837A61" w:rsidRPr="00EB5959" w:rsidRDefault="00882EF1" w:rsidP="00837A61">
            <w:pPr>
              <w:pStyle w:val="ListParagraph"/>
              <w:numPr>
                <w:ilvl w:val="0"/>
                <w:numId w:val="10"/>
              </w:numPr>
              <w:ind w:left="317" w:hanging="317"/>
              <w:rPr>
                <w:rFonts w:ascii="Arial" w:hAnsi="Arial" w:cs="Arial"/>
                <w:sz w:val="20"/>
                <w:szCs w:val="20"/>
              </w:rPr>
            </w:pPr>
            <w:r w:rsidRPr="00EB5959">
              <w:rPr>
                <w:rFonts w:ascii="Arial" w:hAnsi="Arial" w:cs="Arial"/>
                <w:sz w:val="20"/>
                <w:szCs w:val="20"/>
              </w:rPr>
              <w:t>Integrate UHC implementation needs into the national digital health architecture.</w:t>
            </w:r>
          </w:p>
          <w:p w14:paraId="5EE54CF0" w14:textId="77777777" w:rsidR="006709AB" w:rsidRPr="00EB5959" w:rsidRDefault="006709AB" w:rsidP="00837A61">
            <w:pPr>
              <w:pStyle w:val="ListParagraph"/>
              <w:ind w:left="317"/>
              <w:rPr>
                <w:rFonts w:ascii="Arial" w:hAnsi="Arial" w:cs="Arial"/>
                <w:i/>
                <w:iCs/>
                <w:sz w:val="20"/>
                <w:szCs w:val="20"/>
              </w:rPr>
            </w:pPr>
          </w:p>
          <w:p w14:paraId="20EA8374" w14:textId="793AC6B0" w:rsidR="00837A61" w:rsidRPr="00EB5959" w:rsidRDefault="00837A61" w:rsidP="00837A61">
            <w:pPr>
              <w:pStyle w:val="ListParagraph"/>
              <w:ind w:left="317"/>
              <w:rPr>
                <w:rFonts w:ascii="Arial" w:hAnsi="Arial" w:cs="Arial"/>
                <w:i/>
                <w:iCs/>
                <w:sz w:val="20"/>
                <w:szCs w:val="20"/>
              </w:rPr>
            </w:pPr>
            <w:r w:rsidRPr="00EB5959">
              <w:rPr>
                <w:rFonts w:ascii="Arial" w:hAnsi="Arial" w:cs="Arial"/>
                <w:i/>
                <w:iCs/>
                <w:sz w:val="20"/>
                <w:szCs w:val="20"/>
              </w:rPr>
              <w:t>Deliverables:</w:t>
            </w:r>
          </w:p>
          <w:p w14:paraId="7641AEEF" w14:textId="2AA16DF9" w:rsidR="00837A61" w:rsidRPr="00EB5959" w:rsidRDefault="00837A61" w:rsidP="00B02735">
            <w:pPr>
              <w:pStyle w:val="ListParagraph"/>
              <w:numPr>
                <w:ilvl w:val="0"/>
                <w:numId w:val="23"/>
              </w:numPr>
              <w:ind w:left="317" w:hanging="141"/>
              <w:rPr>
                <w:rFonts w:ascii="Arial" w:hAnsi="Arial" w:cs="Arial"/>
                <w:sz w:val="20"/>
                <w:szCs w:val="20"/>
              </w:rPr>
            </w:pPr>
            <w:r w:rsidRPr="00EB5959">
              <w:rPr>
                <w:rFonts w:ascii="Arial" w:hAnsi="Arial" w:cs="Arial"/>
                <w:sz w:val="20"/>
                <w:szCs w:val="20"/>
              </w:rPr>
              <w:t>UHC–Digital Architecture Alignment Note</w:t>
            </w:r>
            <w:r w:rsidR="004A69C2" w:rsidRPr="00EB5959">
              <w:rPr>
                <w:rFonts w:ascii="Arial" w:hAnsi="Arial" w:cs="Arial"/>
                <w:sz w:val="20"/>
                <w:szCs w:val="20"/>
              </w:rPr>
              <w:t xml:space="preserve"> – a s</w:t>
            </w:r>
            <w:r w:rsidRPr="00EB5959">
              <w:rPr>
                <w:rFonts w:ascii="Arial" w:hAnsi="Arial" w:cs="Arial"/>
                <w:sz w:val="20"/>
                <w:szCs w:val="20"/>
              </w:rPr>
              <w:t>hort technical note mapping UHC reform priorities (P</w:t>
            </w:r>
            <w:r w:rsidR="009B6DA2">
              <w:rPr>
                <w:rFonts w:ascii="Arial" w:hAnsi="Arial" w:cs="Arial"/>
                <w:sz w:val="20"/>
                <w:szCs w:val="20"/>
              </w:rPr>
              <w:t xml:space="preserve">rimary </w:t>
            </w:r>
            <w:r w:rsidRPr="00EB5959">
              <w:rPr>
                <w:rFonts w:ascii="Arial" w:hAnsi="Arial" w:cs="Arial"/>
                <w:sz w:val="20"/>
                <w:szCs w:val="20"/>
              </w:rPr>
              <w:t>H</w:t>
            </w:r>
            <w:r w:rsidR="009B6DA2">
              <w:rPr>
                <w:rFonts w:ascii="Arial" w:hAnsi="Arial" w:cs="Arial"/>
                <w:sz w:val="20"/>
                <w:szCs w:val="20"/>
              </w:rPr>
              <w:t xml:space="preserve">ealth </w:t>
            </w:r>
            <w:r w:rsidRPr="00EB5959">
              <w:rPr>
                <w:rFonts w:ascii="Arial" w:hAnsi="Arial" w:cs="Arial"/>
                <w:sz w:val="20"/>
                <w:szCs w:val="20"/>
              </w:rPr>
              <w:t>C</w:t>
            </w:r>
            <w:r w:rsidR="009B6DA2">
              <w:rPr>
                <w:rFonts w:ascii="Arial" w:hAnsi="Arial" w:cs="Arial"/>
                <w:sz w:val="20"/>
                <w:szCs w:val="20"/>
              </w:rPr>
              <w:t>are</w:t>
            </w:r>
            <w:r w:rsidRPr="00EB5959">
              <w:rPr>
                <w:rFonts w:ascii="Arial" w:hAnsi="Arial" w:cs="Arial"/>
                <w:sz w:val="20"/>
                <w:szCs w:val="20"/>
              </w:rPr>
              <w:t xml:space="preserve"> strengthening, hospital optimization, equity, social accountability) against the national digital health architecture, which identifies digital enablers, gaps, dependencies, and sequencing needs.</w:t>
            </w:r>
            <w:r w:rsidR="00B02735" w:rsidRPr="00EB5959">
              <w:rPr>
                <w:rFonts w:ascii="Arial" w:hAnsi="Arial" w:cs="Arial"/>
                <w:sz w:val="20"/>
                <w:szCs w:val="20"/>
              </w:rPr>
              <w:t xml:space="preserve"> The note will be p</w:t>
            </w:r>
            <w:r w:rsidRPr="00EB5959">
              <w:rPr>
                <w:rFonts w:ascii="Arial" w:hAnsi="Arial" w:cs="Arial"/>
                <w:sz w:val="20"/>
                <w:szCs w:val="20"/>
              </w:rPr>
              <w:t>repared in close coordination with the Policy Advisor</w:t>
            </w:r>
            <w:r w:rsidR="009B6DA2">
              <w:rPr>
                <w:rFonts w:ascii="Arial" w:hAnsi="Arial" w:cs="Arial"/>
                <w:sz w:val="20"/>
                <w:szCs w:val="20"/>
              </w:rPr>
              <w:t xml:space="preserve"> on UHC</w:t>
            </w:r>
            <w:r w:rsidRPr="00EB5959">
              <w:rPr>
                <w:rFonts w:ascii="Arial" w:hAnsi="Arial" w:cs="Arial"/>
                <w:sz w:val="20"/>
                <w:szCs w:val="20"/>
              </w:rPr>
              <w:t xml:space="preserve"> and relevant MoH unit</w:t>
            </w:r>
            <w:r w:rsidR="00920BBC">
              <w:rPr>
                <w:rFonts w:ascii="Arial" w:hAnsi="Arial" w:cs="Arial"/>
                <w:sz w:val="20"/>
                <w:szCs w:val="20"/>
              </w:rPr>
              <w:t>s, but also E-gov agency)</w:t>
            </w:r>
          </w:p>
        </w:tc>
        <w:tc>
          <w:tcPr>
            <w:tcW w:w="1405" w:type="dxa"/>
            <w:vMerge/>
            <w:vAlign w:val="center"/>
          </w:tcPr>
          <w:p w14:paraId="31E994E3" w14:textId="77777777" w:rsidR="00882EF1" w:rsidRPr="00EB5959" w:rsidRDefault="00882EF1" w:rsidP="00120940">
            <w:pPr>
              <w:jc w:val="center"/>
              <w:rPr>
                <w:rFonts w:ascii="Arial" w:hAnsi="Arial" w:cs="Arial"/>
                <w:sz w:val="20"/>
                <w:szCs w:val="20"/>
              </w:rPr>
            </w:pPr>
          </w:p>
        </w:tc>
      </w:tr>
      <w:tr w:rsidR="00882EF1" w:rsidRPr="00EB5959" w14:paraId="4A198A53" w14:textId="447983B0" w:rsidTr="00952AB3">
        <w:tc>
          <w:tcPr>
            <w:tcW w:w="7225" w:type="dxa"/>
          </w:tcPr>
          <w:p w14:paraId="3BAFFA55" w14:textId="77777777" w:rsidR="00882EF1" w:rsidRPr="00EB5959" w:rsidRDefault="00882EF1" w:rsidP="00837A61">
            <w:pPr>
              <w:pStyle w:val="ListParagraph"/>
              <w:numPr>
                <w:ilvl w:val="0"/>
                <w:numId w:val="10"/>
              </w:numPr>
              <w:ind w:left="317" w:hanging="317"/>
              <w:rPr>
                <w:rFonts w:ascii="Arial" w:hAnsi="Arial" w:cs="Arial"/>
                <w:sz w:val="20"/>
                <w:szCs w:val="20"/>
              </w:rPr>
            </w:pPr>
            <w:r w:rsidRPr="00EB5959">
              <w:rPr>
                <w:rFonts w:ascii="Arial" w:hAnsi="Arial" w:cs="Arial"/>
                <w:sz w:val="20"/>
                <w:szCs w:val="20"/>
              </w:rPr>
              <w:t>Contribute to system design requirements for UHC reforms.</w:t>
            </w:r>
          </w:p>
          <w:p w14:paraId="3F07BCC3" w14:textId="77777777" w:rsidR="006709AB" w:rsidRPr="00EB5959" w:rsidRDefault="006709AB" w:rsidP="00837A61">
            <w:pPr>
              <w:pStyle w:val="ListParagraph"/>
              <w:ind w:left="317"/>
              <w:rPr>
                <w:rFonts w:ascii="Arial" w:hAnsi="Arial" w:cs="Arial"/>
                <w:i/>
                <w:iCs/>
                <w:sz w:val="20"/>
                <w:szCs w:val="20"/>
              </w:rPr>
            </w:pPr>
          </w:p>
          <w:p w14:paraId="0D7AB735" w14:textId="1DC58EE6" w:rsidR="00837A61" w:rsidRPr="00EB5959" w:rsidRDefault="00837A61" w:rsidP="00837A61">
            <w:pPr>
              <w:pStyle w:val="ListParagraph"/>
              <w:ind w:left="317"/>
              <w:rPr>
                <w:rFonts w:ascii="Arial" w:hAnsi="Arial" w:cs="Arial"/>
                <w:i/>
                <w:iCs/>
                <w:sz w:val="20"/>
                <w:szCs w:val="20"/>
              </w:rPr>
            </w:pPr>
            <w:r w:rsidRPr="00EB5959">
              <w:rPr>
                <w:rFonts w:ascii="Arial" w:hAnsi="Arial" w:cs="Arial"/>
                <w:i/>
                <w:iCs/>
                <w:sz w:val="20"/>
                <w:szCs w:val="20"/>
              </w:rPr>
              <w:t>Deliverables:</w:t>
            </w:r>
          </w:p>
          <w:p w14:paraId="6441C46E" w14:textId="0B1771F6" w:rsidR="00837A61" w:rsidRPr="00EB5959" w:rsidRDefault="00837A61" w:rsidP="006709AB">
            <w:pPr>
              <w:pStyle w:val="ListParagraph"/>
              <w:numPr>
                <w:ilvl w:val="0"/>
                <w:numId w:val="23"/>
              </w:numPr>
              <w:ind w:left="317" w:hanging="141"/>
              <w:rPr>
                <w:rFonts w:ascii="Arial" w:hAnsi="Arial" w:cs="Arial"/>
                <w:sz w:val="20"/>
                <w:szCs w:val="20"/>
              </w:rPr>
            </w:pPr>
            <w:r w:rsidRPr="00EB5959">
              <w:rPr>
                <w:rFonts w:ascii="Arial" w:hAnsi="Arial" w:cs="Arial"/>
                <w:sz w:val="20"/>
                <w:szCs w:val="20"/>
              </w:rPr>
              <w:t>Functional System Design Requirements for UHC Reforms</w:t>
            </w:r>
            <w:r w:rsidR="006709AB" w:rsidRPr="00EB5959">
              <w:rPr>
                <w:rFonts w:ascii="Arial" w:hAnsi="Arial" w:cs="Arial"/>
                <w:sz w:val="20"/>
                <w:szCs w:val="20"/>
              </w:rPr>
              <w:t xml:space="preserve">, describing </w:t>
            </w:r>
            <w:r w:rsidRPr="00EB5959">
              <w:rPr>
                <w:rFonts w:ascii="Arial" w:hAnsi="Arial" w:cs="Arial"/>
                <w:sz w:val="20"/>
                <w:szCs w:val="20"/>
              </w:rPr>
              <w:t>information flows,</w:t>
            </w:r>
            <w:r w:rsidR="006709AB" w:rsidRPr="00EB5959">
              <w:rPr>
                <w:rFonts w:ascii="Arial" w:hAnsi="Arial" w:cs="Arial"/>
                <w:sz w:val="20"/>
                <w:szCs w:val="20"/>
              </w:rPr>
              <w:t xml:space="preserve"> </w:t>
            </w:r>
            <w:r w:rsidRPr="00EB5959">
              <w:rPr>
                <w:rFonts w:ascii="Arial" w:hAnsi="Arial" w:cs="Arial"/>
                <w:sz w:val="20"/>
                <w:szCs w:val="20"/>
              </w:rPr>
              <w:t>roles and responsibilities,</w:t>
            </w:r>
            <w:r w:rsidR="006709AB" w:rsidRPr="00EB5959">
              <w:rPr>
                <w:rFonts w:ascii="Arial" w:hAnsi="Arial" w:cs="Arial"/>
                <w:sz w:val="20"/>
                <w:szCs w:val="20"/>
              </w:rPr>
              <w:t xml:space="preserve"> </w:t>
            </w:r>
            <w:r w:rsidRPr="00EB5959">
              <w:rPr>
                <w:rFonts w:ascii="Arial" w:hAnsi="Arial" w:cs="Arial"/>
                <w:sz w:val="20"/>
                <w:szCs w:val="20"/>
              </w:rPr>
              <w:t>reporting needs,</w:t>
            </w:r>
            <w:r w:rsidR="006709AB" w:rsidRPr="00EB5959">
              <w:rPr>
                <w:rFonts w:ascii="Arial" w:hAnsi="Arial" w:cs="Arial"/>
                <w:sz w:val="20"/>
                <w:szCs w:val="20"/>
              </w:rPr>
              <w:t xml:space="preserve"> </w:t>
            </w:r>
            <w:r w:rsidRPr="00EB5959">
              <w:rPr>
                <w:rFonts w:ascii="Arial" w:hAnsi="Arial" w:cs="Arial"/>
                <w:sz w:val="20"/>
                <w:szCs w:val="20"/>
              </w:rPr>
              <w:t xml:space="preserve">interfaces between institutions (MoH, </w:t>
            </w:r>
            <w:r w:rsidR="009B6DA2">
              <w:rPr>
                <w:rFonts w:ascii="Arial" w:hAnsi="Arial" w:cs="Arial"/>
                <w:sz w:val="20"/>
                <w:szCs w:val="20"/>
              </w:rPr>
              <w:t>National Health Insurance Company (</w:t>
            </w:r>
            <w:r w:rsidRPr="00EB5959">
              <w:rPr>
                <w:rFonts w:ascii="Arial" w:hAnsi="Arial" w:cs="Arial"/>
                <w:sz w:val="20"/>
                <w:szCs w:val="20"/>
              </w:rPr>
              <w:t>CNAM</w:t>
            </w:r>
            <w:r w:rsidR="009B6DA2">
              <w:rPr>
                <w:rFonts w:ascii="Arial" w:hAnsi="Arial" w:cs="Arial"/>
                <w:sz w:val="20"/>
                <w:szCs w:val="20"/>
              </w:rPr>
              <w:t>)</w:t>
            </w:r>
            <w:r w:rsidRPr="00EB5959">
              <w:rPr>
                <w:rFonts w:ascii="Arial" w:hAnsi="Arial" w:cs="Arial"/>
                <w:sz w:val="20"/>
                <w:szCs w:val="20"/>
              </w:rPr>
              <w:t xml:space="preserve">, </w:t>
            </w:r>
            <w:r w:rsidR="009B6DA2">
              <w:rPr>
                <w:rFonts w:ascii="Arial" w:hAnsi="Arial" w:cs="Arial"/>
                <w:sz w:val="20"/>
                <w:szCs w:val="20"/>
              </w:rPr>
              <w:t xml:space="preserve">health service </w:t>
            </w:r>
            <w:r w:rsidRPr="00EB5959">
              <w:rPr>
                <w:rFonts w:ascii="Arial" w:hAnsi="Arial" w:cs="Arial"/>
                <w:sz w:val="20"/>
                <w:szCs w:val="20"/>
              </w:rPr>
              <w:t>providers)</w:t>
            </w:r>
            <w:r w:rsidR="006709AB" w:rsidRPr="00EB5959">
              <w:rPr>
                <w:rFonts w:ascii="Arial" w:hAnsi="Arial" w:cs="Arial"/>
                <w:sz w:val="20"/>
                <w:szCs w:val="20"/>
              </w:rPr>
              <w:t>, which c</w:t>
            </w:r>
            <w:r w:rsidRPr="00EB5959">
              <w:rPr>
                <w:rFonts w:ascii="Arial" w:hAnsi="Arial" w:cs="Arial"/>
                <w:sz w:val="20"/>
                <w:szCs w:val="20"/>
              </w:rPr>
              <w:t>overs key UHC reforms (financing, service delivery, monitoring)</w:t>
            </w:r>
            <w:r w:rsidR="006709AB" w:rsidRPr="00EB5959">
              <w:rPr>
                <w:rFonts w:ascii="Arial" w:hAnsi="Arial" w:cs="Arial"/>
                <w:sz w:val="20"/>
                <w:szCs w:val="20"/>
              </w:rPr>
              <w:t xml:space="preserve"> and d</w:t>
            </w:r>
            <w:r w:rsidRPr="00EB5959">
              <w:rPr>
                <w:rFonts w:ascii="Arial" w:hAnsi="Arial" w:cs="Arial"/>
                <w:sz w:val="20"/>
                <w:szCs w:val="20"/>
              </w:rPr>
              <w:t>oes not include software specifications or procurement inputs.</w:t>
            </w:r>
          </w:p>
        </w:tc>
        <w:tc>
          <w:tcPr>
            <w:tcW w:w="1405" w:type="dxa"/>
            <w:vMerge/>
            <w:vAlign w:val="center"/>
          </w:tcPr>
          <w:p w14:paraId="04BDDD12" w14:textId="77777777" w:rsidR="00882EF1" w:rsidRPr="00EB5959" w:rsidRDefault="00882EF1" w:rsidP="00120940">
            <w:pPr>
              <w:jc w:val="center"/>
              <w:rPr>
                <w:rFonts w:ascii="Arial" w:hAnsi="Arial" w:cs="Arial"/>
                <w:sz w:val="20"/>
                <w:szCs w:val="20"/>
              </w:rPr>
            </w:pPr>
          </w:p>
        </w:tc>
      </w:tr>
      <w:tr w:rsidR="00882EF1" w:rsidRPr="00EB5959" w14:paraId="337DFD11" w14:textId="6D639B55" w:rsidTr="00952AB3">
        <w:tc>
          <w:tcPr>
            <w:tcW w:w="7225" w:type="dxa"/>
          </w:tcPr>
          <w:p w14:paraId="0BA4A382" w14:textId="77777777" w:rsidR="00882EF1" w:rsidRPr="00EB5959" w:rsidRDefault="00882EF1" w:rsidP="00837A61">
            <w:pPr>
              <w:pStyle w:val="ListParagraph"/>
              <w:numPr>
                <w:ilvl w:val="0"/>
                <w:numId w:val="10"/>
              </w:numPr>
              <w:ind w:left="317" w:hanging="317"/>
              <w:rPr>
                <w:rFonts w:ascii="Arial" w:hAnsi="Arial" w:cs="Arial"/>
                <w:sz w:val="20"/>
                <w:szCs w:val="20"/>
              </w:rPr>
            </w:pPr>
            <w:r w:rsidRPr="00EB5959">
              <w:rPr>
                <w:rFonts w:ascii="Arial" w:hAnsi="Arial" w:cs="Arial"/>
                <w:sz w:val="20"/>
                <w:szCs w:val="20"/>
              </w:rPr>
              <w:t>Support development and revision of digital governance mechanisms, standards, and data models.</w:t>
            </w:r>
          </w:p>
          <w:p w14:paraId="2BB87064" w14:textId="77777777" w:rsidR="006709AB" w:rsidRPr="00EB5959" w:rsidRDefault="006709AB" w:rsidP="00837A61">
            <w:pPr>
              <w:pStyle w:val="ListParagraph"/>
              <w:ind w:left="317"/>
              <w:rPr>
                <w:rFonts w:ascii="Arial" w:hAnsi="Arial" w:cs="Arial"/>
                <w:i/>
                <w:iCs/>
                <w:sz w:val="20"/>
                <w:szCs w:val="20"/>
              </w:rPr>
            </w:pPr>
          </w:p>
          <w:p w14:paraId="46217B0F" w14:textId="26E148F4" w:rsidR="00837A61" w:rsidRPr="00EB5959" w:rsidRDefault="00837A61" w:rsidP="00837A61">
            <w:pPr>
              <w:pStyle w:val="ListParagraph"/>
              <w:ind w:left="317"/>
              <w:rPr>
                <w:rFonts w:ascii="Arial" w:hAnsi="Arial" w:cs="Arial"/>
                <w:i/>
                <w:iCs/>
                <w:sz w:val="20"/>
                <w:szCs w:val="20"/>
              </w:rPr>
            </w:pPr>
            <w:r w:rsidRPr="00EB5959">
              <w:rPr>
                <w:rFonts w:ascii="Arial" w:hAnsi="Arial" w:cs="Arial"/>
                <w:i/>
                <w:iCs/>
                <w:sz w:val="20"/>
                <w:szCs w:val="20"/>
              </w:rPr>
              <w:t>Deliverables:</w:t>
            </w:r>
          </w:p>
          <w:p w14:paraId="50DC6E3D" w14:textId="002D90F7" w:rsidR="00837A61" w:rsidRPr="00EB5959" w:rsidRDefault="006709AB" w:rsidP="006709AB">
            <w:pPr>
              <w:pStyle w:val="ListParagraph"/>
              <w:numPr>
                <w:ilvl w:val="0"/>
                <w:numId w:val="23"/>
              </w:numPr>
              <w:ind w:left="317" w:hanging="141"/>
              <w:rPr>
                <w:rFonts w:ascii="Arial" w:hAnsi="Arial" w:cs="Arial"/>
                <w:sz w:val="20"/>
                <w:szCs w:val="20"/>
              </w:rPr>
            </w:pPr>
            <w:r w:rsidRPr="00EB5959">
              <w:rPr>
                <w:rFonts w:ascii="Arial" w:hAnsi="Arial" w:cs="Arial"/>
                <w:sz w:val="20"/>
                <w:szCs w:val="20"/>
              </w:rPr>
              <w:t>Digital Governance and Standards Review &amp; Recommendations, which include a review note assessing the adequacy of existing digital governance mechanisms, standards, and data models for supporting UHC implementation and practical recommendations for updating or clarifying governance arrangements, standards usage, and data models in line with the national program.</w:t>
            </w:r>
          </w:p>
        </w:tc>
        <w:tc>
          <w:tcPr>
            <w:tcW w:w="1405" w:type="dxa"/>
            <w:vMerge/>
            <w:vAlign w:val="center"/>
          </w:tcPr>
          <w:p w14:paraId="214AFCA6" w14:textId="77777777" w:rsidR="00882EF1" w:rsidRPr="00EB5959" w:rsidRDefault="00882EF1" w:rsidP="00120940">
            <w:pPr>
              <w:jc w:val="center"/>
              <w:rPr>
                <w:rFonts w:ascii="Arial" w:hAnsi="Arial" w:cs="Arial"/>
                <w:sz w:val="20"/>
                <w:szCs w:val="20"/>
              </w:rPr>
            </w:pPr>
          </w:p>
        </w:tc>
      </w:tr>
      <w:tr w:rsidR="00882EF1" w:rsidRPr="00EB5959" w14:paraId="6C252DA4" w14:textId="2694E963" w:rsidTr="00952AB3">
        <w:tc>
          <w:tcPr>
            <w:tcW w:w="7225" w:type="dxa"/>
          </w:tcPr>
          <w:p w14:paraId="3B9A21E8" w14:textId="3804CF1D" w:rsidR="00882EF1" w:rsidRPr="00EB5959" w:rsidRDefault="00882EF1" w:rsidP="00837A61">
            <w:pPr>
              <w:pStyle w:val="ListParagraph"/>
              <w:numPr>
                <w:ilvl w:val="0"/>
                <w:numId w:val="10"/>
              </w:numPr>
              <w:ind w:left="317" w:hanging="317"/>
              <w:rPr>
                <w:rFonts w:ascii="Arial" w:hAnsi="Arial" w:cs="Arial"/>
                <w:sz w:val="20"/>
                <w:szCs w:val="20"/>
              </w:rPr>
            </w:pPr>
            <w:r w:rsidRPr="00EB5959">
              <w:rPr>
                <w:rFonts w:ascii="Arial" w:hAnsi="Arial" w:cs="Arial"/>
                <w:sz w:val="20"/>
                <w:szCs w:val="20"/>
              </w:rPr>
              <w:t>Assist in strengthening institutional roles, including the e</w:t>
            </w:r>
            <w:r w:rsidRPr="00EB5959">
              <w:rPr>
                <w:rFonts w:ascii="Cambria Math" w:hAnsi="Cambria Math" w:cs="Cambria Math"/>
                <w:sz w:val="20"/>
                <w:szCs w:val="20"/>
              </w:rPr>
              <w:t>‑</w:t>
            </w:r>
            <w:r w:rsidR="006709AB" w:rsidRPr="00EB5959">
              <w:rPr>
                <w:rFonts w:ascii="Arial" w:hAnsi="Arial" w:cs="Arial"/>
                <w:sz w:val="20"/>
                <w:szCs w:val="20"/>
              </w:rPr>
              <w:t xml:space="preserve">Health </w:t>
            </w:r>
            <w:r w:rsidRPr="00EB5959">
              <w:rPr>
                <w:rFonts w:ascii="Arial" w:hAnsi="Arial" w:cs="Arial"/>
                <w:sz w:val="20"/>
                <w:szCs w:val="20"/>
              </w:rPr>
              <w:t>governance entity.</w:t>
            </w:r>
          </w:p>
          <w:p w14:paraId="14644DEE" w14:textId="77777777" w:rsidR="006709AB" w:rsidRPr="00EB5959" w:rsidRDefault="006709AB" w:rsidP="00837A61">
            <w:pPr>
              <w:pStyle w:val="ListParagraph"/>
              <w:ind w:left="317"/>
              <w:rPr>
                <w:rFonts w:ascii="Arial" w:hAnsi="Arial" w:cs="Arial"/>
                <w:i/>
                <w:iCs/>
                <w:sz w:val="20"/>
                <w:szCs w:val="20"/>
              </w:rPr>
            </w:pPr>
          </w:p>
          <w:p w14:paraId="231386D1" w14:textId="6F1F0734" w:rsidR="00837A61" w:rsidRPr="00EB5959" w:rsidRDefault="00837A61" w:rsidP="00837A61">
            <w:pPr>
              <w:pStyle w:val="ListParagraph"/>
              <w:ind w:left="317"/>
              <w:rPr>
                <w:rFonts w:ascii="Arial" w:hAnsi="Arial" w:cs="Arial"/>
                <w:i/>
                <w:iCs/>
                <w:sz w:val="20"/>
                <w:szCs w:val="20"/>
              </w:rPr>
            </w:pPr>
            <w:r w:rsidRPr="00EB5959">
              <w:rPr>
                <w:rFonts w:ascii="Arial" w:hAnsi="Arial" w:cs="Arial"/>
                <w:i/>
                <w:iCs/>
                <w:sz w:val="20"/>
                <w:szCs w:val="20"/>
              </w:rPr>
              <w:t>Deliverables:</w:t>
            </w:r>
          </w:p>
          <w:p w14:paraId="03624607" w14:textId="5F9BD23B" w:rsidR="00837A61" w:rsidRPr="00EB5959" w:rsidRDefault="006709AB" w:rsidP="006709AB">
            <w:pPr>
              <w:pStyle w:val="ListParagraph"/>
              <w:numPr>
                <w:ilvl w:val="0"/>
                <w:numId w:val="23"/>
              </w:numPr>
              <w:ind w:left="317" w:hanging="141"/>
              <w:rPr>
                <w:rFonts w:ascii="Arial" w:hAnsi="Arial" w:cs="Arial"/>
                <w:sz w:val="20"/>
                <w:szCs w:val="20"/>
              </w:rPr>
            </w:pPr>
            <w:r w:rsidRPr="00920BBC">
              <w:rPr>
                <w:rFonts w:ascii="Arial" w:hAnsi="Arial" w:cs="Arial"/>
                <w:sz w:val="20"/>
                <w:szCs w:val="20"/>
              </w:rPr>
              <w:t xml:space="preserve">Institutional Roles &amp; Responsibilities Clarification Note. </w:t>
            </w:r>
            <w:r w:rsidRPr="00EB5959">
              <w:rPr>
                <w:rFonts w:ascii="Arial" w:hAnsi="Arial" w:cs="Arial"/>
                <w:sz w:val="20"/>
                <w:szCs w:val="20"/>
              </w:rPr>
              <w:t xml:space="preserve">Brief outlining institutional roles related to digital health governance, including MoH units, CNAM, </w:t>
            </w:r>
            <w:r w:rsidR="00920BBC">
              <w:rPr>
                <w:rFonts w:ascii="Arial" w:hAnsi="Arial" w:cs="Arial"/>
                <w:sz w:val="20"/>
                <w:szCs w:val="20"/>
              </w:rPr>
              <w:t>National Public Health Agency (</w:t>
            </w:r>
            <w:r w:rsidRPr="00EB5959">
              <w:rPr>
                <w:rFonts w:ascii="Arial" w:hAnsi="Arial" w:cs="Arial"/>
                <w:sz w:val="20"/>
                <w:szCs w:val="20"/>
              </w:rPr>
              <w:t>ANSP</w:t>
            </w:r>
            <w:r w:rsidR="00920BBC">
              <w:rPr>
                <w:rFonts w:ascii="Arial" w:hAnsi="Arial" w:cs="Arial"/>
                <w:sz w:val="20"/>
                <w:szCs w:val="20"/>
              </w:rPr>
              <w:t>)</w:t>
            </w:r>
            <w:r w:rsidRPr="00EB5959">
              <w:rPr>
                <w:rFonts w:ascii="Arial" w:hAnsi="Arial" w:cs="Arial"/>
                <w:sz w:val="20"/>
                <w:szCs w:val="20"/>
              </w:rPr>
              <w:t>, and the e-Health entity.</w:t>
            </w:r>
          </w:p>
        </w:tc>
        <w:tc>
          <w:tcPr>
            <w:tcW w:w="1405" w:type="dxa"/>
            <w:vMerge/>
            <w:vAlign w:val="center"/>
          </w:tcPr>
          <w:p w14:paraId="39CA4020" w14:textId="77777777" w:rsidR="00882EF1" w:rsidRPr="00EB5959" w:rsidRDefault="00882EF1" w:rsidP="00120940">
            <w:pPr>
              <w:jc w:val="center"/>
              <w:rPr>
                <w:rFonts w:ascii="Arial" w:hAnsi="Arial" w:cs="Arial"/>
                <w:sz w:val="20"/>
                <w:szCs w:val="20"/>
              </w:rPr>
            </w:pPr>
          </w:p>
        </w:tc>
      </w:tr>
      <w:tr w:rsidR="00882EF1" w:rsidRPr="00EB5959" w14:paraId="687518D3" w14:textId="5E192163" w:rsidTr="00952AB3">
        <w:tc>
          <w:tcPr>
            <w:tcW w:w="7225" w:type="dxa"/>
          </w:tcPr>
          <w:p w14:paraId="187F588F" w14:textId="77777777" w:rsidR="00882EF1" w:rsidRPr="00EB5959" w:rsidRDefault="00882EF1" w:rsidP="00882EF1">
            <w:pPr>
              <w:spacing w:before="120" w:after="120"/>
              <w:rPr>
                <w:rFonts w:ascii="Arial" w:hAnsi="Arial" w:cs="Arial"/>
                <w:b/>
                <w:bCs/>
                <w:sz w:val="20"/>
                <w:szCs w:val="20"/>
              </w:rPr>
            </w:pPr>
            <w:r w:rsidRPr="00EB5959">
              <w:rPr>
                <w:rFonts w:ascii="Arial" w:hAnsi="Arial" w:cs="Arial"/>
                <w:b/>
                <w:bCs/>
                <w:sz w:val="20"/>
                <w:szCs w:val="20"/>
              </w:rPr>
              <w:t>B. Interoperability, Data Governance, and Monitoring for UHC</w:t>
            </w:r>
          </w:p>
        </w:tc>
        <w:tc>
          <w:tcPr>
            <w:tcW w:w="1405" w:type="dxa"/>
            <w:vAlign w:val="center"/>
          </w:tcPr>
          <w:p w14:paraId="0522B08E" w14:textId="77777777" w:rsidR="00882EF1" w:rsidRPr="00EB5959" w:rsidRDefault="00882EF1" w:rsidP="00120940">
            <w:pPr>
              <w:jc w:val="center"/>
              <w:rPr>
                <w:rFonts w:ascii="Arial" w:hAnsi="Arial" w:cs="Arial"/>
                <w:sz w:val="20"/>
                <w:szCs w:val="20"/>
              </w:rPr>
            </w:pPr>
          </w:p>
        </w:tc>
      </w:tr>
      <w:tr w:rsidR="00882EF1" w:rsidRPr="00EB5959" w14:paraId="74AAAD54" w14:textId="2E3DA3DE" w:rsidTr="00952AB3">
        <w:tc>
          <w:tcPr>
            <w:tcW w:w="7225" w:type="dxa"/>
          </w:tcPr>
          <w:p w14:paraId="745622D7" w14:textId="77777777" w:rsidR="00882EF1" w:rsidRPr="00EB5959" w:rsidRDefault="00882EF1" w:rsidP="00837A61">
            <w:pPr>
              <w:pStyle w:val="ListParagraph"/>
              <w:numPr>
                <w:ilvl w:val="0"/>
                <w:numId w:val="10"/>
              </w:numPr>
              <w:ind w:left="317" w:hanging="317"/>
              <w:rPr>
                <w:rFonts w:ascii="Arial" w:hAnsi="Arial" w:cs="Arial"/>
                <w:sz w:val="20"/>
                <w:szCs w:val="20"/>
              </w:rPr>
            </w:pPr>
            <w:r w:rsidRPr="00EB5959">
              <w:rPr>
                <w:rFonts w:ascii="Arial" w:hAnsi="Arial" w:cs="Arial"/>
                <w:sz w:val="20"/>
                <w:szCs w:val="20"/>
              </w:rPr>
              <w:t>Align UHC reforms with national interoperability and data governance frameworks.</w:t>
            </w:r>
          </w:p>
          <w:p w14:paraId="4686752A" w14:textId="77777777" w:rsidR="00400831" w:rsidRPr="00EB5959" w:rsidRDefault="00400831" w:rsidP="00837A61">
            <w:pPr>
              <w:pStyle w:val="ListParagraph"/>
              <w:ind w:left="317"/>
              <w:rPr>
                <w:rFonts w:ascii="Arial" w:hAnsi="Arial" w:cs="Arial"/>
                <w:i/>
                <w:iCs/>
                <w:sz w:val="20"/>
                <w:szCs w:val="20"/>
              </w:rPr>
            </w:pPr>
          </w:p>
          <w:p w14:paraId="27839442" w14:textId="08EEA6ED" w:rsidR="00837A61" w:rsidRPr="00EB5959" w:rsidRDefault="00837A61" w:rsidP="00837A61">
            <w:pPr>
              <w:pStyle w:val="ListParagraph"/>
              <w:ind w:left="317"/>
              <w:rPr>
                <w:rFonts w:ascii="Arial" w:hAnsi="Arial" w:cs="Arial"/>
                <w:i/>
                <w:iCs/>
                <w:sz w:val="20"/>
                <w:szCs w:val="20"/>
              </w:rPr>
            </w:pPr>
            <w:r w:rsidRPr="00EB5959">
              <w:rPr>
                <w:rFonts w:ascii="Arial" w:hAnsi="Arial" w:cs="Arial"/>
                <w:i/>
                <w:iCs/>
                <w:sz w:val="20"/>
                <w:szCs w:val="20"/>
              </w:rPr>
              <w:t>Deliverables:</w:t>
            </w:r>
          </w:p>
          <w:p w14:paraId="6F463D4D" w14:textId="77DCFA5F" w:rsidR="00837A61" w:rsidRPr="00EB5959" w:rsidRDefault="00400831" w:rsidP="00400831">
            <w:pPr>
              <w:pStyle w:val="ListParagraph"/>
              <w:numPr>
                <w:ilvl w:val="0"/>
                <w:numId w:val="23"/>
              </w:numPr>
              <w:ind w:left="317" w:hanging="141"/>
              <w:rPr>
                <w:rFonts w:ascii="Arial" w:hAnsi="Arial" w:cs="Arial"/>
                <w:sz w:val="20"/>
                <w:szCs w:val="20"/>
              </w:rPr>
            </w:pPr>
            <w:r w:rsidRPr="00EB5959">
              <w:rPr>
                <w:rFonts w:ascii="Arial" w:hAnsi="Arial" w:cs="Arial"/>
                <w:sz w:val="20"/>
                <w:szCs w:val="20"/>
              </w:rPr>
              <w:t xml:space="preserve">UHC Interoperability &amp; Data Governance Alignment Note, mapping of UHC reform data needs against existing interoperability and data governance </w:t>
            </w:r>
            <w:r w:rsidRPr="00EB5959">
              <w:rPr>
                <w:rFonts w:ascii="Arial" w:hAnsi="Arial" w:cs="Arial"/>
                <w:sz w:val="20"/>
                <w:szCs w:val="20"/>
              </w:rPr>
              <w:lastRenderedPageBreak/>
              <w:t xml:space="preserve">frameworks, which </w:t>
            </w:r>
            <w:r w:rsidR="002467E9">
              <w:rPr>
                <w:rFonts w:ascii="Arial" w:hAnsi="Arial" w:cs="Arial"/>
                <w:sz w:val="20"/>
                <w:szCs w:val="20"/>
              </w:rPr>
              <w:t>i</w:t>
            </w:r>
            <w:r w:rsidRPr="00EB5959">
              <w:rPr>
                <w:rFonts w:ascii="Arial" w:hAnsi="Arial" w:cs="Arial"/>
                <w:sz w:val="20"/>
                <w:szCs w:val="20"/>
              </w:rPr>
              <w:t>dentifies constraints, risks, and mitigation actions affecting reform implementation. Prepared jointly with MoH and Digital Health stakeholders.</w:t>
            </w:r>
          </w:p>
        </w:tc>
        <w:tc>
          <w:tcPr>
            <w:tcW w:w="1405" w:type="dxa"/>
            <w:vMerge w:val="restart"/>
            <w:vAlign w:val="center"/>
          </w:tcPr>
          <w:p w14:paraId="5F39707C" w14:textId="77777777" w:rsidR="00882EF1" w:rsidRPr="00EB5959" w:rsidRDefault="00882EF1" w:rsidP="00120940">
            <w:pPr>
              <w:jc w:val="center"/>
              <w:rPr>
                <w:rFonts w:ascii="Arial" w:hAnsi="Arial" w:cs="Arial"/>
                <w:sz w:val="20"/>
                <w:szCs w:val="20"/>
              </w:rPr>
            </w:pPr>
          </w:p>
          <w:p w14:paraId="0DC452F1" w14:textId="28E47005" w:rsidR="00882EF1" w:rsidRPr="00EB5959" w:rsidRDefault="00920BBC" w:rsidP="00120940">
            <w:pPr>
              <w:jc w:val="center"/>
              <w:rPr>
                <w:rFonts w:ascii="Arial" w:hAnsi="Arial" w:cs="Arial"/>
                <w:sz w:val="20"/>
                <w:szCs w:val="20"/>
              </w:rPr>
            </w:pPr>
            <w:r>
              <w:rPr>
                <w:rFonts w:ascii="Arial" w:hAnsi="Arial" w:cs="Arial"/>
                <w:sz w:val="20"/>
                <w:szCs w:val="20"/>
              </w:rPr>
              <w:t>8</w:t>
            </w:r>
            <w:r w:rsidR="00F865C3" w:rsidRPr="00EB5959">
              <w:rPr>
                <w:rFonts w:ascii="Arial" w:hAnsi="Arial" w:cs="Arial"/>
                <w:sz w:val="20"/>
                <w:szCs w:val="20"/>
              </w:rPr>
              <w:t>0</w:t>
            </w:r>
          </w:p>
        </w:tc>
      </w:tr>
      <w:tr w:rsidR="00882EF1" w:rsidRPr="00EB5959" w14:paraId="6C4510AD" w14:textId="36A46C34" w:rsidTr="00952AB3">
        <w:tc>
          <w:tcPr>
            <w:tcW w:w="7225" w:type="dxa"/>
          </w:tcPr>
          <w:p w14:paraId="664160ED" w14:textId="77777777" w:rsidR="00882EF1" w:rsidRPr="00EB5959" w:rsidRDefault="00882EF1" w:rsidP="00837A61">
            <w:pPr>
              <w:pStyle w:val="ListParagraph"/>
              <w:numPr>
                <w:ilvl w:val="0"/>
                <w:numId w:val="10"/>
              </w:numPr>
              <w:ind w:left="317" w:hanging="317"/>
              <w:rPr>
                <w:rFonts w:ascii="Arial" w:hAnsi="Arial" w:cs="Arial"/>
                <w:sz w:val="20"/>
                <w:szCs w:val="20"/>
              </w:rPr>
            </w:pPr>
            <w:r w:rsidRPr="00EB5959">
              <w:rPr>
                <w:rFonts w:ascii="Arial" w:hAnsi="Arial" w:cs="Arial"/>
                <w:sz w:val="20"/>
                <w:szCs w:val="20"/>
              </w:rPr>
              <w:t>Strengthen data flows needed for UHC indicators and performance monitoring.</w:t>
            </w:r>
          </w:p>
          <w:p w14:paraId="37815E3D" w14:textId="77777777" w:rsidR="00400831" w:rsidRPr="00EB5959" w:rsidRDefault="00400831" w:rsidP="00837A61">
            <w:pPr>
              <w:pStyle w:val="ListParagraph"/>
              <w:ind w:left="317"/>
              <w:rPr>
                <w:rFonts w:ascii="Arial" w:hAnsi="Arial" w:cs="Arial"/>
                <w:i/>
                <w:iCs/>
                <w:sz w:val="20"/>
                <w:szCs w:val="20"/>
              </w:rPr>
            </w:pPr>
          </w:p>
          <w:p w14:paraId="75305E4E" w14:textId="2F49A666" w:rsidR="00837A61" w:rsidRPr="00EB5959" w:rsidRDefault="00837A61" w:rsidP="00837A61">
            <w:pPr>
              <w:pStyle w:val="ListParagraph"/>
              <w:ind w:left="317"/>
              <w:rPr>
                <w:rFonts w:ascii="Arial" w:hAnsi="Arial" w:cs="Arial"/>
                <w:i/>
                <w:iCs/>
                <w:sz w:val="20"/>
                <w:szCs w:val="20"/>
              </w:rPr>
            </w:pPr>
            <w:r w:rsidRPr="00EB5959">
              <w:rPr>
                <w:rFonts w:ascii="Arial" w:hAnsi="Arial" w:cs="Arial"/>
                <w:i/>
                <w:iCs/>
                <w:sz w:val="20"/>
                <w:szCs w:val="20"/>
              </w:rPr>
              <w:t>Deliverables:</w:t>
            </w:r>
          </w:p>
          <w:p w14:paraId="291FA00B" w14:textId="737DFFA7" w:rsidR="00400831" w:rsidRPr="00EB5959" w:rsidRDefault="00400831" w:rsidP="005B38A4">
            <w:pPr>
              <w:pStyle w:val="ListParagraph"/>
              <w:numPr>
                <w:ilvl w:val="0"/>
                <w:numId w:val="23"/>
              </w:numPr>
              <w:ind w:left="317" w:hanging="141"/>
              <w:rPr>
                <w:rFonts w:ascii="Arial" w:hAnsi="Arial" w:cs="Arial"/>
                <w:sz w:val="20"/>
                <w:szCs w:val="20"/>
              </w:rPr>
            </w:pPr>
            <w:r w:rsidRPr="00EB5959">
              <w:rPr>
                <w:rFonts w:ascii="Arial" w:hAnsi="Arial" w:cs="Arial"/>
                <w:sz w:val="20"/>
                <w:szCs w:val="20"/>
              </w:rPr>
              <w:t>UHC Data Flow and Indicator Mapping</w:t>
            </w:r>
            <w:r w:rsidR="005B38A4" w:rsidRPr="00EB5959">
              <w:rPr>
                <w:rFonts w:ascii="Arial" w:hAnsi="Arial" w:cs="Arial"/>
                <w:sz w:val="20"/>
                <w:szCs w:val="20"/>
              </w:rPr>
              <w:t xml:space="preserve"> </w:t>
            </w:r>
            <w:r w:rsidR="002467E9">
              <w:rPr>
                <w:rFonts w:ascii="Arial" w:hAnsi="Arial" w:cs="Arial"/>
                <w:sz w:val="20"/>
                <w:szCs w:val="20"/>
              </w:rPr>
              <w:t>–</w:t>
            </w:r>
            <w:r w:rsidR="005B38A4" w:rsidRPr="00EB5959">
              <w:rPr>
                <w:rFonts w:ascii="Arial" w:hAnsi="Arial" w:cs="Arial"/>
                <w:sz w:val="20"/>
                <w:szCs w:val="20"/>
              </w:rPr>
              <w:t xml:space="preserve"> </w:t>
            </w:r>
            <w:r w:rsidRPr="00EB5959">
              <w:rPr>
                <w:rFonts w:ascii="Arial" w:hAnsi="Arial" w:cs="Arial"/>
                <w:sz w:val="20"/>
                <w:szCs w:val="20"/>
              </w:rPr>
              <w:t>documentation of data flows required to monitor UHC reforms (coverage, access, performance, equity)</w:t>
            </w:r>
            <w:r w:rsidR="005B38A4" w:rsidRPr="00EB5959">
              <w:rPr>
                <w:rFonts w:ascii="Arial" w:hAnsi="Arial" w:cs="Arial"/>
                <w:sz w:val="20"/>
                <w:szCs w:val="20"/>
              </w:rPr>
              <w:t>, which a</w:t>
            </w:r>
            <w:r w:rsidRPr="00EB5959">
              <w:rPr>
                <w:rFonts w:ascii="Arial" w:hAnsi="Arial" w:cs="Arial"/>
                <w:sz w:val="20"/>
                <w:szCs w:val="20"/>
              </w:rPr>
              <w:t>ligns policy indicators with existing national information systems.</w:t>
            </w:r>
          </w:p>
          <w:p w14:paraId="52C8612E" w14:textId="7F7103A3" w:rsidR="00837A61" w:rsidRPr="00EB5959" w:rsidRDefault="00837A61" w:rsidP="005B38A4">
            <w:pPr>
              <w:ind w:left="176"/>
              <w:rPr>
                <w:rFonts w:ascii="Arial" w:hAnsi="Arial" w:cs="Arial"/>
                <w:sz w:val="20"/>
                <w:szCs w:val="20"/>
              </w:rPr>
            </w:pPr>
          </w:p>
        </w:tc>
        <w:tc>
          <w:tcPr>
            <w:tcW w:w="1405" w:type="dxa"/>
            <w:vMerge/>
            <w:vAlign w:val="center"/>
          </w:tcPr>
          <w:p w14:paraId="5CD7CC46" w14:textId="77777777" w:rsidR="00882EF1" w:rsidRPr="00EB5959" w:rsidRDefault="00882EF1" w:rsidP="00120940">
            <w:pPr>
              <w:jc w:val="center"/>
              <w:rPr>
                <w:rFonts w:ascii="Arial" w:hAnsi="Arial" w:cs="Arial"/>
                <w:sz w:val="20"/>
                <w:szCs w:val="20"/>
              </w:rPr>
            </w:pPr>
          </w:p>
        </w:tc>
      </w:tr>
      <w:tr w:rsidR="00882EF1" w:rsidRPr="00EB5959" w14:paraId="2E78CCC0" w14:textId="27860058" w:rsidTr="00952AB3">
        <w:tc>
          <w:tcPr>
            <w:tcW w:w="7225" w:type="dxa"/>
          </w:tcPr>
          <w:p w14:paraId="73520F3A" w14:textId="77777777" w:rsidR="00882EF1" w:rsidRPr="00EB5959" w:rsidRDefault="00882EF1" w:rsidP="00837A61">
            <w:pPr>
              <w:pStyle w:val="ListParagraph"/>
              <w:numPr>
                <w:ilvl w:val="0"/>
                <w:numId w:val="10"/>
              </w:numPr>
              <w:ind w:left="317" w:hanging="317"/>
              <w:rPr>
                <w:rFonts w:ascii="Arial" w:hAnsi="Arial" w:cs="Arial"/>
                <w:sz w:val="20"/>
                <w:szCs w:val="20"/>
              </w:rPr>
            </w:pPr>
            <w:r w:rsidRPr="00EB5959">
              <w:rPr>
                <w:rFonts w:ascii="Arial" w:hAnsi="Arial" w:cs="Arial"/>
                <w:sz w:val="20"/>
                <w:szCs w:val="20"/>
              </w:rPr>
              <w:t>Advise on improving data quality and responsible data access.</w:t>
            </w:r>
          </w:p>
          <w:p w14:paraId="471354FC" w14:textId="77777777" w:rsidR="00E24F8B" w:rsidRPr="00EB5959" w:rsidRDefault="00E24F8B" w:rsidP="00837A61">
            <w:pPr>
              <w:pStyle w:val="ListParagraph"/>
              <w:ind w:left="317"/>
              <w:rPr>
                <w:rFonts w:ascii="Arial" w:hAnsi="Arial" w:cs="Arial"/>
                <w:i/>
                <w:iCs/>
                <w:sz w:val="20"/>
                <w:szCs w:val="20"/>
              </w:rPr>
            </w:pPr>
          </w:p>
          <w:p w14:paraId="2E1F08A0" w14:textId="3F55510E" w:rsidR="00837A61" w:rsidRPr="00EB5959" w:rsidRDefault="00837A61" w:rsidP="00837A61">
            <w:pPr>
              <w:pStyle w:val="ListParagraph"/>
              <w:ind w:left="317"/>
              <w:rPr>
                <w:rFonts w:ascii="Arial" w:hAnsi="Arial" w:cs="Arial"/>
                <w:i/>
                <w:iCs/>
                <w:sz w:val="20"/>
                <w:szCs w:val="20"/>
              </w:rPr>
            </w:pPr>
            <w:r w:rsidRPr="00EB5959">
              <w:rPr>
                <w:rFonts w:ascii="Arial" w:hAnsi="Arial" w:cs="Arial"/>
                <w:i/>
                <w:iCs/>
                <w:sz w:val="20"/>
                <w:szCs w:val="20"/>
              </w:rPr>
              <w:t>Deliverables:</w:t>
            </w:r>
          </w:p>
          <w:p w14:paraId="309DBD6D" w14:textId="43C58E4C" w:rsidR="00837A61" w:rsidRPr="00EB5959" w:rsidRDefault="00E24F8B" w:rsidP="00E24F8B">
            <w:pPr>
              <w:pStyle w:val="ListParagraph"/>
              <w:numPr>
                <w:ilvl w:val="0"/>
                <w:numId w:val="23"/>
              </w:numPr>
              <w:ind w:left="317" w:hanging="141"/>
              <w:rPr>
                <w:rFonts w:ascii="Arial" w:hAnsi="Arial" w:cs="Arial"/>
                <w:sz w:val="20"/>
                <w:szCs w:val="20"/>
              </w:rPr>
            </w:pPr>
            <w:r w:rsidRPr="00EB5959">
              <w:rPr>
                <w:rFonts w:ascii="Arial" w:hAnsi="Arial" w:cs="Arial"/>
                <w:sz w:val="20"/>
                <w:szCs w:val="20"/>
              </w:rPr>
              <w:t xml:space="preserve">Data Quality and Responsible Data Use Guidance, </w:t>
            </w:r>
            <w:r w:rsidR="008C5871" w:rsidRPr="00EB5959">
              <w:rPr>
                <w:rFonts w:ascii="Arial" w:hAnsi="Arial" w:cs="Arial"/>
                <w:sz w:val="20"/>
                <w:szCs w:val="20"/>
              </w:rPr>
              <w:t>addressing</w:t>
            </w:r>
            <w:r w:rsidRPr="00EB5959">
              <w:rPr>
                <w:rFonts w:ascii="Arial" w:hAnsi="Arial" w:cs="Arial"/>
                <w:sz w:val="20"/>
                <w:szCs w:val="20"/>
              </w:rPr>
              <w:t xml:space="preserve"> data quality improvement, data validation responsibilities, responsible access and use of health data</w:t>
            </w:r>
            <w:r w:rsidR="002467E9">
              <w:rPr>
                <w:rFonts w:ascii="Arial" w:hAnsi="Arial" w:cs="Arial"/>
                <w:sz w:val="20"/>
                <w:szCs w:val="20"/>
              </w:rPr>
              <w:t>,</w:t>
            </w:r>
            <w:r w:rsidRPr="00EB5959">
              <w:rPr>
                <w:rFonts w:ascii="Arial" w:hAnsi="Arial" w:cs="Arial"/>
                <w:sz w:val="20"/>
                <w:szCs w:val="20"/>
              </w:rPr>
              <w:t xml:space="preserve"> </w:t>
            </w:r>
            <w:r w:rsidR="002467E9">
              <w:rPr>
                <w:rFonts w:ascii="Arial" w:hAnsi="Arial" w:cs="Arial"/>
                <w:sz w:val="20"/>
                <w:szCs w:val="20"/>
              </w:rPr>
              <w:t xml:space="preserve">which </w:t>
            </w:r>
            <w:r w:rsidRPr="00EB5959">
              <w:rPr>
                <w:rFonts w:ascii="Arial" w:hAnsi="Arial" w:cs="Arial"/>
                <w:sz w:val="20"/>
                <w:szCs w:val="20"/>
              </w:rPr>
              <w:t>is anchored in existing legal and governance frameworks.</w:t>
            </w:r>
          </w:p>
        </w:tc>
        <w:tc>
          <w:tcPr>
            <w:tcW w:w="1405" w:type="dxa"/>
            <w:vMerge/>
            <w:vAlign w:val="center"/>
          </w:tcPr>
          <w:p w14:paraId="5AC7E9BD" w14:textId="77777777" w:rsidR="00882EF1" w:rsidRPr="00EB5959" w:rsidRDefault="00882EF1" w:rsidP="00120940">
            <w:pPr>
              <w:jc w:val="center"/>
              <w:rPr>
                <w:rFonts w:ascii="Arial" w:hAnsi="Arial" w:cs="Arial"/>
                <w:sz w:val="20"/>
                <w:szCs w:val="20"/>
              </w:rPr>
            </w:pPr>
          </w:p>
        </w:tc>
      </w:tr>
      <w:tr w:rsidR="00882EF1" w:rsidRPr="00EB5959" w14:paraId="0328A5DF" w14:textId="572DEB5A" w:rsidTr="00952AB3">
        <w:tc>
          <w:tcPr>
            <w:tcW w:w="7225" w:type="dxa"/>
          </w:tcPr>
          <w:p w14:paraId="04D0D3ED" w14:textId="77777777" w:rsidR="00882EF1" w:rsidRPr="00EB5959" w:rsidRDefault="00882EF1" w:rsidP="00837A61">
            <w:pPr>
              <w:pStyle w:val="ListParagraph"/>
              <w:numPr>
                <w:ilvl w:val="0"/>
                <w:numId w:val="10"/>
              </w:numPr>
              <w:ind w:left="317" w:hanging="317"/>
              <w:rPr>
                <w:rFonts w:ascii="Arial" w:hAnsi="Arial" w:cs="Arial"/>
                <w:sz w:val="20"/>
                <w:szCs w:val="20"/>
              </w:rPr>
            </w:pPr>
            <w:r w:rsidRPr="00EB5959">
              <w:rPr>
                <w:rFonts w:ascii="Arial" w:hAnsi="Arial" w:cs="Arial"/>
                <w:sz w:val="20"/>
                <w:szCs w:val="20"/>
              </w:rPr>
              <w:t>Support development of dashboards and reporting frameworks (functional requirements only).</w:t>
            </w:r>
          </w:p>
          <w:p w14:paraId="5C291B29" w14:textId="77777777" w:rsidR="008C5871" w:rsidRPr="00EB5959" w:rsidRDefault="008C5871" w:rsidP="00837A61">
            <w:pPr>
              <w:pStyle w:val="ListParagraph"/>
              <w:ind w:left="317"/>
              <w:rPr>
                <w:rFonts w:ascii="Arial" w:hAnsi="Arial" w:cs="Arial"/>
                <w:i/>
                <w:iCs/>
                <w:sz w:val="20"/>
                <w:szCs w:val="20"/>
              </w:rPr>
            </w:pPr>
          </w:p>
          <w:p w14:paraId="5A5EDA14" w14:textId="3E40EF4C" w:rsidR="00837A61" w:rsidRPr="00EB5959" w:rsidRDefault="00837A61" w:rsidP="00837A61">
            <w:pPr>
              <w:pStyle w:val="ListParagraph"/>
              <w:ind w:left="317"/>
              <w:rPr>
                <w:rFonts w:ascii="Arial" w:hAnsi="Arial" w:cs="Arial"/>
                <w:i/>
                <w:iCs/>
                <w:sz w:val="20"/>
                <w:szCs w:val="20"/>
              </w:rPr>
            </w:pPr>
            <w:r w:rsidRPr="00EB5959">
              <w:rPr>
                <w:rFonts w:ascii="Arial" w:hAnsi="Arial" w:cs="Arial"/>
                <w:i/>
                <w:iCs/>
                <w:sz w:val="20"/>
                <w:szCs w:val="20"/>
              </w:rPr>
              <w:t>Deliverables:</w:t>
            </w:r>
          </w:p>
          <w:p w14:paraId="6B53A688" w14:textId="0D9C3813" w:rsidR="00837A61" w:rsidRPr="00EB5959" w:rsidRDefault="00E2520C" w:rsidP="00E2520C">
            <w:pPr>
              <w:pStyle w:val="ListParagraph"/>
              <w:numPr>
                <w:ilvl w:val="0"/>
                <w:numId w:val="23"/>
              </w:numPr>
              <w:ind w:left="317" w:hanging="141"/>
              <w:rPr>
                <w:rFonts w:ascii="Arial" w:hAnsi="Arial" w:cs="Arial"/>
                <w:sz w:val="20"/>
                <w:szCs w:val="20"/>
              </w:rPr>
            </w:pPr>
            <w:r w:rsidRPr="00EB5959">
              <w:rPr>
                <w:rFonts w:ascii="Arial" w:hAnsi="Arial" w:cs="Arial"/>
                <w:sz w:val="20"/>
                <w:szCs w:val="20"/>
              </w:rPr>
              <w:t xml:space="preserve">Functional </w:t>
            </w:r>
            <w:r w:rsidR="002467E9">
              <w:rPr>
                <w:rFonts w:ascii="Arial" w:hAnsi="Arial" w:cs="Arial"/>
                <w:sz w:val="20"/>
                <w:szCs w:val="20"/>
              </w:rPr>
              <w:t>r</w:t>
            </w:r>
            <w:r w:rsidRPr="00EB5959">
              <w:rPr>
                <w:rFonts w:ascii="Arial" w:hAnsi="Arial" w:cs="Arial"/>
                <w:sz w:val="20"/>
                <w:szCs w:val="20"/>
              </w:rPr>
              <w:t>equirements for UHC Monitoring Dashboards, defin</w:t>
            </w:r>
            <w:r w:rsidR="007A7155" w:rsidRPr="00EB5959">
              <w:rPr>
                <w:rFonts w:ascii="Arial" w:hAnsi="Arial" w:cs="Arial"/>
                <w:sz w:val="20"/>
                <w:szCs w:val="20"/>
              </w:rPr>
              <w:t>ing</w:t>
            </w:r>
            <w:r w:rsidRPr="00EB5959">
              <w:rPr>
                <w:rFonts w:ascii="Arial" w:hAnsi="Arial" w:cs="Arial"/>
                <w:sz w:val="20"/>
                <w:szCs w:val="20"/>
              </w:rPr>
              <w:t xml:space="preserve"> indicators, user roles, update frequency, and governance arrangements. </w:t>
            </w:r>
            <w:r w:rsidR="002467E9">
              <w:rPr>
                <w:rFonts w:ascii="Arial" w:hAnsi="Arial" w:cs="Arial"/>
                <w:sz w:val="20"/>
                <w:szCs w:val="20"/>
              </w:rPr>
              <w:t>S</w:t>
            </w:r>
            <w:r w:rsidRPr="00EB5959">
              <w:rPr>
                <w:rFonts w:ascii="Arial" w:hAnsi="Arial" w:cs="Arial"/>
                <w:sz w:val="20"/>
                <w:szCs w:val="20"/>
              </w:rPr>
              <w:t>oftware development or IT procurement</w:t>
            </w:r>
            <w:r w:rsidR="002467E9" w:rsidRPr="00EB5959">
              <w:rPr>
                <w:rFonts w:ascii="Arial" w:hAnsi="Arial" w:cs="Arial"/>
                <w:sz w:val="20"/>
                <w:szCs w:val="20"/>
              </w:rPr>
              <w:t xml:space="preserve"> </w:t>
            </w:r>
            <w:r w:rsidR="002467E9">
              <w:rPr>
                <w:rFonts w:ascii="Arial" w:hAnsi="Arial" w:cs="Arial"/>
                <w:sz w:val="20"/>
                <w:szCs w:val="20"/>
              </w:rPr>
              <w:t>are e</w:t>
            </w:r>
            <w:r w:rsidR="002467E9" w:rsidRPr="00EB5959">
              <w:rPr>
                <w:rFonts w:ascii="Arial" w:hAnsi="Arial" w:cs="Arial"/>
                <w:sz w:val="20"/>
                <w:szCs w:val="20"/>
              </w:rPr>
              <w:t>xplicitly exclude</w:t>
            </w:r>
            <w:r w:rsidR="002467E9">
              <w:rPr>
                <w:rFonts w:ascii="Arial" w:hAnsi="Arial" w:cs="Arial"/>
                <w:sz w:val="20"/>
                <w:szCs w:val="20"/>
              </w:rPr>
              <w:t>d</w:t>
            </w:r>
            <w:r w:rsidRPr="00EB5959">
              <w:rPr>
                <w:rFonts w:ascii="Arial" w:hAnsi="Arial" w:cs="Arial"/>
                <w:sz w:val="20"/>
                <w:szCs w:val="20"/>
              </w:rPr>
              <w:t>.</w:t>
            </w:r>
          </w:p>
        </w:tc>
        <w:tc>
          <w:tcPr>
            <w:tcW w:w="1405" w:type="dxa"/>
            <w:vMerge/>
            <w:vAlign w:val="center"/>
          </w:tcPr>
          <w:p w14:paraId="17AAC160" w14:textId="77777777" w:rsidR="00882EF1" w:rsidRPr="00EB5959" w:rsidRDefault="00882EF1" w:rsidP="00120940">
            <w:pPr>
              <w:jc w:val="center"/>
              <w:rPr>
                <w:rFonts w:ascii="Arial" w:hAnsi="Arial" w:cs="Arial"/>
                <w:sz w:val="20"/>
                <w:szCs w:val="20"/>
              </w:rPr>
            </w:pPr>
          </w:p>
        </w:tc>
      </w:tr>
      <w:tr w:rsidR="00882EF1" w:rsidRPr="00EB5959" w14:paraId="6C11B471" w14:textId="02231293" w:rsidTr="00952AB3">
        <w:tc>
          <w:tcPr>
            <w:tcW w:w="7225" w:type="dxa"/>
          </w:tcPr>
          <w:p w14:paraId="4970163B" w14:textId="77777777" w:rsidR="00882EF1" w:rsidRPr="00EB5959" w:rsidRDefault="00882EF1" w:rsidP="00882EF1">
            <w:pPr>
              <w:spacing w:before="120" w:after="120"/>
              <w:rPr>
                <w:rFonts w:ascii="Arial" w:hAnsi="Arial" w:cs="Arial"/>
                <w:sz w:val="20"/>
                <w:szCs w:val="20"/>
              </w:rPr>
            </w:pPr>
            <w:r w:rsidRPr="00EB5959">
              <w:rPr>
                <w:rFonts w:ascii="Arial" w:hAnsi="Arial" w:cs="Arial"/>
                <w:b/>
                <w:bCs/>
                <w:sz w:val="20"/>
                <w:szCs w:val="20"/>
              </w:rPr>
              <w:t>C. Coordination and Stakeholder Engagement</w:t>
            </w:r>
          </w:p>
        </w:tc>
        <w:tc>
          <w:tcPr>
            <w:tcW w:w="1405" w:type="dxa"/>
            <w:vAlign w:val="center"/>
          </w:tcPr>
          <w:p w14:paraId="168C3B84" w14:textId="77777777" w:rsidR="00882EF1" w:rsidRPr="00EB5959" w:rsidRDefault="00882EF1" w:rsidP="00120940">
            <w:pPr>
              <w:jc w:val="center"/>
              <w:rPr>
                <w:rFonts w:ascii="Arial" w:hAnsi="Arial" w:cs="Arial"/>
                <w:sz w:val="20"/>
                <w:szCs w:val="20"/>
              </w:rPr>
            </w:pPr>
          </w:p>
        </w:tc>
      </w:tr>
      <w:tr w:rsidR="00882EF1" w:rsidRPr="00EB5959" w14:paraId="1DC4DBBD" w14:textId="46220531" w:rsidTr="00952AB3">
        <w:tc>
          <w:tcPr>
            <w:tcW w:w="7225" w:type="dxa"/>
          </w:tcPr>
          <w:p w14:paraId="6AD003DA" w14:textId="77777777" w:rsidR="00882EF1" w:rsidRPr="00EB5959" w:rsidRDefault="00882EF1" w:rsidP="00837A61">
            <w:pPr>
              <w:pStyle w:val="ListParagraph"/>
              <w:numPr>
                <w:ilvl w:val="0"/>
                <w:numId w:val="10"/>
              </w:numPr>
              <w:ind w:left="317" w:hanging="317"/>
              <w:rPr>
                <w:rFonts w:ascii="Arial" w:hAnsi="Arial" w:cs="Arial"/>
                <w:sz w:val="20"/>
                <w:szCs w:val="20"/>
              </w:rPr>
            </w:pPr>
            <w:r w:rsidRPr="00EB5959">
              <w:rPr>
                <w:rFonts w:ascii="Arial" w:hAnsi="Arial" w:cs="Arial"/>
                <w:sz w:val="20"/>
                <w:szCs w:val="20"/>
              </w:rPr>
              <w:t xml:space="preserve"> Coordinate with MoH departments, CNAM, ANSP, e</w:t>
            </w:r>
            <w:r w:rsidRPr="00EB5959">
              <w:rPr>
                <w:rFonts w:ascii="Cambria Math" w:hAnsi="Cambria Math" w:cs="Cambria Math"/>
                <w:sz w:val="20"/>
                <w:szCs w:val="20"/>
              </w:rPr>
              <w:t>‑</w:t>
            </w:r>
            <w:r w:rsidRPr="00EB5959">
              <w:rPr>
                <w:rFonts w:ascii="Arial" w:hAnsi="Arial" w:cs="Arial"/>
                <w:sz w:val="20"/>
                <w:szCs w:val="20"/>
              </w:rPr>
              <w:t>Government Agency, and others.</w:t>
            </w:r>
          </w:p>
          <w:p w14:paraId="27E40D8D" w14:textId="77777777" w:rsidR="00BB064D" w:rsidRPr="00EB5959" w:rsidRDefault="00BB064D" w:rsidP="00837A61">
            <w:pPr>
              <w:pStyle w:val="ListParagraph"/>
              <w:ind w:left="317"/>
              <w:rPr>
                <w:rFonts w:ascii="Arial" w:hAnsi="Arial" w:cs="Arial"/>
                <w:i/>
                <w:iCs/>
                <w:sz w:val="20"/>
                <w:szCs w:val="20"/>
              </w:rPr>
            </w:pPr>
          </w:p>
          <w:p w14:paraId="4930A04E" w14:textId="5702F7AA" w:rsidR="00837A61" w:rsidRPr="00EB5959" w:rsidRDefault="00837A61" w:rsidP="00837A61">
            <w:pPr>
              <w:pStyle w:val="ListParagraph"/>
              <w:ind w:left="317"/>
              <w:rPr>
                <w:rFonts w:ascii="Arial" w:hAnsi="Arial" w:cs="Arial"/>
                <w:i/>
                <w:iCs/>
                <w:sz w:val="20"/>
                <w:szCs w:val="20"/>
              </w:rPr>
            </w:pPr>
            <w:r w:rsidRPr="00EB5959">
              <w:rPr>
                <w:rFonts w:ascii="Arial" w:hAnsi="Arial" w:cs="Arial"/>
                <w:i/>
                <w:iCs/>
                <w:sz w:val="20"/>
                <w:szCs w:val="20"/>
              </w:rPr>
              <w:t>Deliverables:</w:t>
            </w:r>
          </w:p>
          <w:p w14:paraId="7E44502D" w14:textId="4C4CA641" w:rsidR="00837A61" w:rsidRPr="00EB5959" w:rsidRDefault="00BA0D73" w:rsidP="00BA0D73">
            <w:pPr>
              <w:pStyle w:val="ListParagraph"/>
              <w:numPr>
                <w:ilvl w:val="0"/>
                <w:numId w:val="23"/>
              </w:numPr>
              <w:ind w:left="317" w:hanging="141"/>
              <w:rPr>
                <w:rFonts w:ascii="Arial" w:hAnsi="Arial" w:cs="Arial"/>
                <w:sz w:val="20"/>
                <w:szCs w:val="20"/>
              </w:rPr>
            </w:pPr>
            <w:r w:rsidRPr="00EB5959">
              <w:rPr>
                <w:rFonts w:ascii="Arial" w:hAnsi="Arial" w:cs="Arial"/>
                <w:sz w:val="20"/>
                <w:szCs w:val="20"/>
              </w:rPr>
              <w:t xml:space="preserve">Coordination and Engagement Log </w:t>
            </w:r>
            <w:r w:rsidR="002467E9">
              <w:rPr>
                <w:rFonts w:ascii="Arial" w:hAnsi="Arial" w:cs="Arial"/>
                <w:sz w:val="20"/>
                <w:szCs w:val="20"/>
              </w:rPr>
              <w:t>–</w:t>
            </w:r>
            <w:r w:rsidRPr="00EB5959">
              <w:rPr>
                <w:rFonts w:ascii="Arial" w:hAnsi="Arial" w:cs="Arial"/>
                <w:sz w:val="20"/>
                <w:szCs w:val="20"/>
              </w:rPr>
              <w:t xml:space="preserve"> regularly updated record of coordination meetings with MoH departments, CNAM, ANSP, e-Govern</w:t>
            </w:r>
            <w:r w:rsidR="002467E9">
              <w:rPr>
                <w:rFonts w:ascii="Arial" w:hAnsi="Arial" w:cs="Arial"/>
                <w:sz w:val="20"/>
                <w:szCs w:val="20"/>
              </w:rPr>
              <w:t>ance</w:t>
            </w:r>
            <w:r w:rsidRPr="00EB5959">
              <w:rPr>
                <w:rFonts w:ascii="Arial" w:hAnsi="Arial" w:cs="Arial"/>
                <w:sz w:val="20"/>
                <w:szCs w:val="20"/>
              </w:rPr>
              <w:t xml:space="preserve"> Agency, and </w:t>
            </w:r>
            <w:r w:rsidR="002467E9">
              <w:rPr>
                <w:rFonts w:ascii="Arial" w:hAnsi="Arial" w:cs="Arial"/>
                <w:sz w:val="20"/>
                <w:szCs w:val="20"/>
              </w:rPr>
              <w:t xml:space="preserve">other </w:t>
            </w:r>
            <w:r w:rsidRPr="00EB5959">
              <w:rPr>
                <w:rFonts w:ascii="Arial" w:hAnsi="Arial" w:cs="Arial"/>
                <w:sz w:val="20"/>
                <w:szCs w:val="20"/>
              </w:rPr>
              <w:t xml:space="preserve">partners. </w:t>
            </w:r>
            <w:r w:rsidR="002467E9">
              <w:rPr>
                <w:rFonts w:ascii="Arial" w:hAnsi="Arial" w:cs="Arial"/>
                <w:sz w:val="20"/>
                <w:szCs w:val="20"/>
              </w:rPr>
              <w:t>It d</w:t>
            </w:r>
            <w:r w:rsidRPr="00EB5959">
              <w:rPr>
                <w:rFonts w:ascii="Arial" w:hAnsi="Arial" w:cs="Arial"/>
                <w:sz w:val="20"/>
                <w:szCs w:val="20"/>
              </w:rPr>
              <w:t>ocuments decisions, follow-up actions, and alignment outcomes.</w:t>
            </w:r>
          </w:p>
        </w:tc>
        <w:tc>
          <w:tcPr>
            <w:tcW w:w="1405" w:type="dxa"/>
            <w:vMerge w:val="restart"/>
            <w:vAlign w:val="center"/>
          </w:tcPr>
          <w:p w14:paraId="222E0FC1" w14:textId="1F0DB3D5" w:rsidR="00882EF1" w:rsidRPr="00EB5959" w:rsidRDefault="00920BBC" w:rsidP="00120940">
            <w:pPr>
              <w:jc w:val="center"/>
              <w:rPr>
                <w:rFonts w:ascii="Arial" w:hAnsi="Arial" w:cs="Arial"/>
                <w:sz w:val="20"/>
                <w:szCs w:val="20"/>
              </w:rPr>
            </w:pPr>
            <w:r>
              <w:rPr>
                <w:rFonts w:ascii="Arial" w:hAnsi="Arial" w:cs="Arial"/>
                <w:sz w:val="20"/>
                <w:szCs w:val="20"/>
              </w:rPr>
              <w:t>4</w:t>
            </w:r>
            <w:r w:rsidR="00F865C3" w:rsidRPr="00EB5959">
              <w:rPr>
                <w:rFonts w:ascii="Arial" w:hAnsi="Arial" w:cs="Arial"/>
                <w:sz w:val="20"/>
                <w:szCs w:val="20"/>
              </w:rPr>
              <w:t>0</w:t>
            </w:r>
          </w:p>
        </w:tc>
      </w:tr>
      <w:tr w:rsidR="00882EF1" w:rsidRPr="00EB5959" w14:paraId="2E777F36" w14:textId="16D9E54B" w:rsidTr="00952AB3">
        <w:tc>
          <w:tcPr>
            <w:tcW w:w="7225" w:type="dxa"/>
          </w:tcPr>
          <w:p w14:paraId="559648B5" w14:textId="77777777" w:rsidR="00882EF1" w:rsidRPr="00EB5959" w:rsidRDefault="00882EF1" w:rsidP="00837A61">
            <w:pPr>
              <w:pStyle w:val="ListParagraph"/>
              <w:numPr>
                <w:ilvl w:val="0"/>
                <w:numId w:val="10"/>
              </w:numPr>
              <w:ind w:left="317" w:hanging="317"/>
              <w:rPr>
                <w:rFonts w:ascii="Arial" w:hAnsi="Arial" w:cs="Arial"/>
                <w:sz w:val="20"/>
                <w:szCs w:val="20"/>
              </w:rPr>
            </w:pPr>
            <w:r w:rsidRPr="00EB5959">
              <w:rPr>
                <w:rFonts w:ascii="Arial" w:hAnsi="Arial" w:cs="Arial"/>
                <w:sz w:val="20"/>
                <w:szCs w:val="20"/>
              </w:rPr>
              <w:t>Facilitate technical discussions aligning UHC reforms with the national digital program.</w:t>
            </w:r>
          </w:p>
          <w:p w14:paraId="62784D08" w14:textId="77777777" w:rsidR="00946260" w:rsidRPr="00EB5959" w:rsidRDefault="00946260" w:rsidP="00837A61">
            <w:pPr>
              <w:pStyle w:val="ListParagraph"/>
              <w:ind w:left="317"/>
              <w:rPr>
                <w:rFonts w:ascii="Arial" w:hAnsi="Arial" w:cs="Arial"/>
                <w:i/>
                <w:iCs/>
                <w:sz w:val="20"/>
                <w:szCs w:val="20"/>
              </w:rPr>
            </w:pPr>
          </w:p>
          <w:p w14:paraId="01702B56" w14:textId="3A441F7A" w:rsidR="00837A61" w:rsidRPr="00EB5959" w:rsidRDefault="00837A61" w:rsidP="00837A61">
            <w:pPr>
              <w:pStyle w:val="ListParagraph"/>
              <w:ind w:left="317"/>
              <w:rPr>
                <w:rFonts w:ascii="Arial" w:hAnsi="Arial" w:cs="Arial"/>
                <w:i/>
                <w:iCs/>
                <w:sz w:val="20"/>
                <w:szCs w:val="20"/>
              </w:rPr>
            </w:pPr>
            <w:r w:rsidRPr="00EB5959">
              <w:rPr>
                <w:rFonts w:ascii="Arial" w:hAnsi="Arial" w:cs="Arial"/>
                <w:i/>
                <w:iCs/>
                <w:sz w:val="20"/>
                <w:szCs w:val="20"/>
              </w:rPr>
              <w:t>Deliverables:</w:t>
            </w:r>
          </w:p>
          <w:p w14:paraId="242EB236" w14:textId="52D38F86" w:rsidR="00837A61" w:rsidRPr="00EB5959" w:rsidRDefault="00946260" w:rsidP="00946260">
            <w:pPr>
              <w:pStyle w:val="ListParagraph"/>
              <w:numPr>
                <w:ilvl w:val="0"/>
                <w:numId w:val="23"/>
              </w:numPr>
              <w:ind w:left="317" w:hanging="141"/>
              <w:rPr>
                <w:rFonts w:ascii="Arial" w:hAnsi="Arial" w:cs="Arial"/>
                <w:sz w:val="20"/>
                <w:szCs w:val="20"/>
              </w:rPr>
            </w:pPr>
            <w:r w:rsidRPr="00EB5959">
              <w:rPr>
                <w:rFonts w:ascii="Arial" w:hAnsi="Arial" w:cs="Arial"/>
                <w:sz w:val="20"/>
                <w:szCs w:val="20"/>
              </w:rPr>
              <w:t xml:space="preserve">Technical Briefs for UHC–Digital </w:t>
            </w:r>
            <w:r w:rsidR="008709B3" w:rsidRPr="00EB5959">
              <w:rPr>
                <w:rFonts w:ascii="Arial" w:hAnsi="Arial" w:cs="Arial"/>
                <w:sz w:val="20"/>
                <w:szCs w:val="20"/>
              </w:rPr>
              <w:t>a</w:t>
            </w:r>
            <w:r w:rsidRPr="00EB5959">
              <w:rPr>
                <w:rFonts w:ascii="Arial" w:hAnsi="Arial" w:cs="Arial"/>
                <w:sz w:val="20"/>
                <w:szCs w:val="20"/>
              </w:rPr>
              <w:t xml:space="preserve">lignment </w:t>
            </w:r>
            <w:r w:rsidR="008709B3" w:rsidRPr="00EB5959">
              <w:rPr>
                <w:rFonts w:ascii="Arial" w:hAnsi="Arial" w:cs="Arial"/>
                <w:sz w:val="20"/>
                <w:szCs w:val="20"/>
              </w:rPr>
              <w:t>d</w:t>
            </w:r>
            <w:r w:rsidRPr="00EB5959">
              <w:rPr>
                <w:rFonts w:ascii="Arial" w:hAnsi="Arial" w:cs="Arial"/>
                <w:sz w:val="20"/>
                <w:szCs w:val="20"/>
              </w:rPr>
              <w:t>iscussions</w:t>
            </w:r>
            <w:r w:rsidR="008709B3" w:rsidRPr="00EB5959">
              <w:rPr>
                <w:rFonts w:ascii="Arial" w:hAnsi="Arial" w:cs="Arial"/>
                <w:sz w:val="20"/>
                <w:szCs w:val="20"/>
              </w:rPr>
              <w:t>,</w:t>
            </w:r>
            <w:r w:rsidRPr="00EB5959">
              <w:rPr>
                <w:rFonts w:ascii="Arial" w:hAnsi="Arial" w:cs="Arial"/>
                <w:sz w:val="20"/>
                <w:szCs w:val="20"/>
              </w:rPr>
              <w:t xml:space="preserve"> prepared for technical discussions and consultations linking UHC reforms with the national digital program. Used to facilitate informed dialogue and decision-making.</w:t>
            </w:r>
          </w:p>
        </w:tc>
        <w:tc>
          <w:tcPr>
            <w:tcW w:w="1405" w:type="dxa"/>
            <w:vMerge/>
            <w:vAlign w:val="center"/>
          </w:tcPr>
          <w:p w14:paraId="403E3667" w14:textId="77777777" w:rsidR="00882EF1" w:rsidRPr="00EB5959" w:rsidRDefault="00882EF1" w:rsidP="00120940">
            <w:pPr>
              <w:jc w:val="center"/>
              <w:rPr>
                <w:rFonts w:ascii="Arial" w:hAnsi="Arial" w:cs="Arial"/>
                <w:sz w:val="20"/>
                <w:szCs w:val="20"/>
              </w:rPr>
            </w:pPr>
          </w:p>
        </w:tc>
      </w:tr>
      <w:tr w:rsidR="00882EF1" w:rsidRPr="00EB5959" w14:paraId="7F1C0BF4" w14:textId="10C6CDF2" w:rsidTr="00952AB3">
        <w:tc>
          <w:tcPr>
            <w:tcW w:w="7225" w:type="dxa"/>
          </w:tcPr>
          <w:p w14:paraId="47D5EB01" w14:textId="62D30760" w:rsidR="00882EF1" w:rsidRPr="00EB5959" w:rsidRDefault="00882EF1" w:rsidP="00837A61">
            <w:pPr>
              <w:pStyle w:val="ListParagraph"/>
              <w:numPr>
                <w:ilvl w:val="0"/>
                <w:numId w:val="10"/>
              </w:numPr>
              <w:ind w:left="317" w:hanging="317"/>
              <w:rPr>
                <w:rFonts w:ascii="Arial" w:hAnsi="Arial" w:cs="Arial"/>
                <w:sz w:val="20"/>
                <w:szCs w:val="20"/>
              </w:rPr>
            </w:pPr>
            <w:r w:rsidRPr="00EB5959">
              <w:rPr>
                <w:rFonts w:ascii="Arial" w:hAnsi="Arial" w:cs="Arial"/>
                <w:sz w:val="20"/>
                <w:szCs w:val="20"/>
              </w:rPr>
              <w:t>Support working groups on digital architecture,</w:t>
            </w:r>
            <w:r w:rsidR="00816AA5" w:rsidRPr="00EB5959">
              <w:rPr>
                <w:rFonts w:ascii="Arial" w:hAnsi="Arial" w:cs="Arial"/>
                <w:sz w:val="20"/>
                <w:szCs w:val="20"/>
              </w:rPr>
              <w:t xml:space="preserve"> EHR</w:t>
            </w:r>
            <w:r w:rsidRPr="00EB5959">
              <w:rPr>
                <w:rFonts w:ascii="Arial" w:hAnsi="Arial" w:cs="Arial"/>
                <w:sz w:val="20"/>
                <w:szCs w:val="20"/>
              </w:rPr>
              <w:t>, interoperability, and innovation.</w:t>
            </w:r>
          </w:p>
          <w:p w14:paraId="6F76CBB3" w14:textId="77777777" w:rsidR="005A0C15" w:rsidRPr="00EB5959" w:rsidRDefault="005A0C15" w:rsidP="00837A61">
            <w:pPr>
              <w:pStyle w:val="ListParagraph"/>
              <w:ind w:left="317"/>
              <w:rPr>
                <w:rFonts w:ascii="Arial" w:hAnsi="Arial" w:cs="Arial"/>
                <w:i/>
                <w:iCs/>
                <w:sz w:val="20"/>
                <w:szCs w:val="20"/>
              </w:rPr>
            </w:pPr>
          </w:p>
          <w:p w14:paraId="74A56964" w14:textId="335F70CA" w:rsidR="00837A61" w:rsidRPr="00EB5959" w:rsidRDefault="00837A61" w:rsidP="00837A61">
            <w:pPr>
              <w:pStyle w:val="ListParagraph"/>
              <w:ind w:left="317"/>
              <w:rPr>
                <w:rFonts w:ascii="Arial" w:hAnsi="Arial" w:cs="Arial"/>
                <w:i/>
                <w:iCs/>
                <w:sz w:val="20"/>
                <w:szCs w:val="20"/>
              </w:rPr>
            </w:pPr>
            <w:r w:rsidRPr="00EB5959">
              <w:rPr>
                <w:rFonts w:ascii="Arial" w:hAnsi="Arial" w:cs="Arial"/>
                <w:i/>
                <w:iCs/>
                <w:sz w:val="20"/>
                <w:szCs w:val="20"/>
              </w:rPr>
              <w:t>Deliverables:</w:t>
            </w:r>
          </w:p>
          <w:p w14:paraId="3957F9EF" w14:textId="3392D917" w:rsidR="00837A61" w:rsidRPr="00EB5959" w:rsidRDefault="005A0C15" w:rsidP="005A0C15">
            <w:pPr>
              <w:pStyle w:val="ListParagraph"/>
              <w:numPr>
                <w:ilvl w:val="0"/>
                <w:numId w:val="23"/>
              </w:numPr>
              <w:ind w:left="317" w:hanging="141"/>
              <w:rPr>
                <w:rFonts w:ascii="Arial" w:hAnsi="Arial" w:cs="Arial"/>
                <w:sz w:val="20"/>
                <w:szCs w:val="20"/>
              </w:rPr>
            </w:pPr>
            <w:r w:rsidRPr="00EB5959">
              <w:rPr>
                <w:rFonts w:ascii="Arial" w:hAnsi="Arial" w:cs="Arial"/>
                <w:sz w:val="20"/>
                <w:szCs w:val="20"/>
              </w:rPr>
              <w:t xml:space="preserve">Working Group Support Packages </w:t>
            </w:r>
            <w:r w:rsidR="002467E9">
              <w:rPr>
                <w:rFonts w:ascii="Arial" w:hAnsi="Arial" w:cs="Arial"/>
                <w:sz w:val="20"/>
                <w:szCs w:val="20"/>
              </w:rPr>
              <w:t>–</w:t>
            </w:r>
            <w:r w:rsidRPr="00EB5959">
              <w:rPr>
                <w:rFonts w:ascii="Arial" w:hAnsi="Arial" w:cs="Arial"/>
                <w:sz w:val="20"/>
                <w:szCs w:val="20"/>
              </w:rPr>
              <w:t xml:space="preserve"> </w:t>
            </w:r>
            <w:r w:rsidR="00816AA5" w:rsidRPr="00EB5959">
              <w:rPr>
                <w:rFonts w:ascii="Arial" w:hAnsi="Arial" w:cs="Arial"/>
                <w:sz w:val="20"/>
                <w:szCs w:val="20"/>
              </w:rPr>
              <w:t>a</w:t>
            </w:r>
            <w:r w:rsidRPr="00EB5959">
              <w:rPr>
                <w:rFonts w:ascii="Arial" w:hAnsi="Arial" w:cs="Arial"/>
                <w:sz w:val="20"/>
                <w:szCs w:val="20"/>
              </w:rPr>
              <w:t>gendas, background notes, and summaries for working groups on digital architecture,</w:t>
            </w:r>
            <w:r w:rsidR="00471DDF" w:rsidRPr="00EB5959">
              <w:rPr>
                <w:rFonts w:ascii="Arial" w:hAnsi="Arial" w:cs="Arial"/>
                <w:sz w:val="20"/>
                <w:szCs w:val="20"/>
              </w:rPr>
              <w:t xml:space="preserve"> EHR</w:t>
            </w:r>
            <w:r w:rsidRPr="00EB5959">
              <w:rPr>
                <w:rFonts w:ascii="Arial" w:hAnsi="Arial" w:cs="Arial"/>
                <w:sz w:val="20"/>
                <w:szCs w:val="20"/>
              </w:rPr>
              <w:t>, interoperability, and innovation as relevant to UHC reforms.</w:t>
            </w:r>
          </w:p>
        </w:tc>
        <w:tc>
          <w:tcPr>
            <w:tcW w:w="1405" w:type="dxa"/>
            <w:vMerge/>
            <w:vAlign w:val="center"/>
          </w:tcPr>
          <w:p w14:paraId="35D7775C" w14:textId="77777777" w:rsidR="00882EF1" w:rsidRPr="00EB5959" w:rsidRDefault="00882EF1" w:rsidP="00120940">
            <w:pPr>
              <w:jc w:val="center"/>
              <w:rPr>
                <w:rFonts w:ascii="Arial" w:hAnsi="Arial" w:cs="Arial"/>
                <w:sz w:val="20"/>
                <w:szCs w:val="20"/>
              </w:rPr>
            </w:pPr>
          </w:p>
        </w:tc>
      </w:tr>
      <w:tr w:rsidR="00882EF1" w:rsidRPr="00EB5959" w14:paraId="0DC9222F" w14:textId="43AC1060" w:rsidTr="00952AB3">
        <w:tc>
          <w:tcPr>
            <w:tcW w:w="7225" w:type="dxa"/>
          </w:tcPr>
          <w:p w14:paraId="72039071" w14:textId="77777777" w:rsidR="00882EF1" w:rsidRPr="00EB5959" w:rsidRDefault="00882EF1" w:rsidP="00882EF1">
            <w:pPr>
              <w:spacing w:before="120" w:after="120"/>
              <w:rPr>
                <w:rFonts w:ascii="Arial" w:hAnsi="Arial" w:cs="Arial"/>
                <w:sz w:val="20"/>
                <w:szCs w:val="20"/>
              </w:rPr>
            </w:pPr>
            <w:r w:rsidRPr="00EB5959">
              <w:rPr>
                <w:rFonts w:ascii="Arial" w:hAnsi="Arial" w:cs="Arial"/>
                <w:b/>
                <w:bCs/>
                <w:sz w:val="20"/>
                <w:szCs w:val="20"/>
              </w:rPr>
              <w:t>D. Capacity Strengthening and Knowledge Transfer</w:t>
            </w:r>
          </w:p>
        </w:tc>
        <w:tc>
          <w:tcPr>
            <w:tcW w:w="1405" w:type="dxa"/>
            <w:vAlign w:val="center"/>
          </w:tcPr>
          <w:p w14:paraId="3AFD1376" w14:textId="77777777" w:rsidR="00882EF1" w:rsidRPr="00EB5959" w:rsidRDefault="00882EF1" w:rsidP="00120940">
            <w:pPr>
              <w:jc w:val="center"/>
              <w:rPr>
                <w:rFonts w:ascii="Arial" w:hAnsi="Arial" w:cs="Arial"/>
                <w:sz w:val="20"/>
                <w:szCs w:val="20"/>
              </w:rPr>
            </w:pPr>
          </w:p>
        </w:tc>
      </w:tr>
      <w:tr w:rsidR="00882EF1" w:rsidRPr="00EB5959" w14:paraId="10539635" w14:textId="025A80B5" w:rsidTr="00952AB3">
        <w:tc>
          <w:tcPr>
            <w:tcW w:w="7225" w:type="dxa"/>
          </w:tcPr>
          <w:p w14:paraId="2429F1FC" w14:textId="77777777" w:rsidR="00882EF1" w:rsidRPr="00EB5959" w:rsidRDefault="00882EF1" w:rsidP="00837A61">
            <w:pPr>
              <w:pStyle w:val="ListParagraph"/>
              <w:numPr>
                <w:ilvl w:val="0"/>
                <w:numId w:val="10"/>
              </w:numPr>
              <w:ind w:left="317" w:hanging="317"/>
              <w:rPr>
                <w:rFonts w:ascii="Arial" w:hAnsi="Arial" w:cs="Arial"/>
                <w:sz w:val="20"/>
                <w:szCs w:val="20"/>
              </w:rPr>
            </w:pPr>
            <w:r w:rsidRPr="00EB5959">
              <w:rPr>
                <w:rFonts w:ascii="Arial" w:hAnsi="Arial" w:cs="Arial"/>
                <w:sz w:val="20"/>
                <w:szCs w:val="20"/>
              </w:rPr>
              <w:t>Build institutional capacity on digital governance, system design, and data use.</w:t>
            </w:r>
          </w:p>
          <w:p w14:paraId="60A67BCD" w14:textId="77777777" w:rsidR="00471DDF" w:rsidRPr="00EB5959" w:rsidRDefault="00471DDF" w:rsidP="00837A61">
            <w:pPr>
              <w:pStyle w:val="ListParagraph"/>
              <w:ind w:left="317"/>
              <w:rPr>
                <w:rFonts w:ascii="Arial" w:hAnsi="Arial" w:cs="Arial"/>
                <w:i/>
                <w:iCs/>
                <w:sz w:val="20"/>
                <w:szCs w:val="20"/>
              </w:rPr>
            </w:pPr>
          </w:p>
          <w:p w14:paraId="783512EE" w14:textId="1F8F89CF" w:rsidR="00837A61" w:rsidRPr="00EB5959" w:rsidRDefault="00837A61" w:rsidP="00837A61">
            <w:pPr>
              <w:pStyle w:val="ListParagraph"/>
              <w:ind w:left="317"/>
              <w:rPr>
                <w:rFonts w:ascii="Arial" w:hAnsi="Arial" w:cs="Arial"/>
                <w:i/>
                <w:iCs/>
                <w:sz w:val="20"/>
                <w:szCs w:val="20"/>
              </w:rPr>
            </w:pPr>
            <w:r w:rsidRPr="00EB5959">
              <w:rPr>
                <w:rFonts w:ascii="Arial" w:hAnsi="Arial" w:cs="Arial"/>
                <w:i/>
                <w:iCs/>
                <w:sz w:val="20"/>
                <w:szCs w:val="20"/>
              </w:rPr>
              <w:lastRenderedPageBreak/>
              <w:t>Deliverables:</w:t>
            </w:r>
          </w:p>
          <w:p w14:paraId="78312489" w14:textId="49C32800" w:rsidR="00837A61" w:rsidRPr="00EB5959" w:rsidRDefault="00BC4384" w:rsidP="00BC4384">
            <w:pPr>
              <w:pStyle w:val="ListParagraph"/>
              <w:numPr>
                <w:ilvl w:val="0"/>
                <w:numId w:val="23"/>
              </w:numPr>
              <w:ind w:left="317" w:hanging="141"/>
              <w:rPr>
                <w:rFonts w:ascii="Arial" w:hAnsi="Arial" w:cs="Arial"/>
                <w:i/>
                <w:iCs/>
                <w:sz w:val="20"/>
                <w:szCs w:val="20"/>
              </w:rPr>
            </w:pPr>
            <w:r w:rsidRPr="00EB5959">
              <w:rPr>
                <w:rFonts w:ascii="Arial" w:hAnsi="Arial" w:cs="Arial"/>
                <w:sz w:val="20"/>
                <w:szCs w:val="20"/>
              </w:rPr>
              <w:t>MoH Capacity Strengthening Plan (Digital Governance &amp; Data Use), identifying capacity gaps and priority actions for strengthening digital governance and data use within MoH. I</w:t>
            </w:r>
            <w:r w:rsidR="002467E9">
              <w:rPr>
                <w:rFonts w:ascii="Arial" w:hAnsi="Arial" w:cs="Arial"/>
                <w:sz w:val="20"/>
                <w:szCs w:val="20"/>
              </w:rPr>
              <w:t>t i</w:t>
            </w:r>
            <w:r w:rsidRPr="00EB5959">
              <w:rPr>
                <w:rFonts w:ascii="Arial" w:hAnsi="Arial" w:cs="Arial"/>
                <w:sz w:val="20"/>
                <w:szCs w:val="20"/>
              </w:rPr>
              <w:t>ncludes suggested training topics and formats</w:t>
            </w:r>
            <w:r w:rsidRPr="00EB5959">
              <w:rPr>
                <w:rFonts w:ascii="Arial" w:hAnsi="Arial" w:cs="Arial"/>
                <w:i/>
                <w:iCs/>
                <w:sz w:val="20"/>
                <w:szCs w:val="20"/>
              </w:rPr>
              <w:t>.</w:t>
            </w:r>
          </w:p>
        </w:tc>
        <w:tc>
          <w:tcPr>
            <w:tcW w:w="1405" w:type="dxa"/>
            <w:vMerge w:val="restart"/>
            <w:vAlign w:val="center"/>
          </w:tcPr>
          <w:p w14:paraId="65085F97" w14:textId="457A2BC6" w:rsidR="00882EF1" w:rsidRPr="00EB5959" w:rsidRDefault="00920BBC" w:rsidP="00120940">
            <w:pPr>
              <w:jc w:val="center"/>
              <w:rPr>
                <w:rFonts w:ascii="Arial" w:hAnsi="Arial" w:cs="Arial"/>
                <w:sz w:val="20"/>
                <w:szCs w:val="20"/>
              </w:rPr>
            </w:pPr>
            <w:r>
              <w:rPr>
                <w:rFonts w:ascii="Arial" w:hAnsi="Arial" w:cs="Arial"/>
                <w:sz w:val="20"/>
                <w:szCs w:val="20"/>
              </w:rPr>
              <w:lastRenderedPageBreak/>
              <w:t>3</w:t>
            </w:r>
            <w:r w:rsidR="00F865C3" w:rsidRPr="00EB5959">
              <w:rPr>
                <w:rFonts w:ascii="Arial" w:hAnsi="Arial" w:cs="Arial"/>
                <w:sz w:val="20"/>
                <w:szCs w:val="20"/>
              </w:rPr>
              <w:t>0</w:t>
            </w:r>
          </w:p>
        </w:tc>
      </w:tr>
      <w:tr w:rsidR="00882EF1" w:rsidRPr="00EB5959" w14:paraId="723FBE89" w14:textId="562C38C6" w:rsidTr="00952AB3">
        <w:tc>
          <w:tcPr>
            <w:tcW w:w="7225" w:type="dxa"/>
          </w:tcPr>
          <w:p w14:paraId="32A373E7" w14:textId="77777777" w:rsidR="00882EF1" w:rsidRPr="00EB5959" w:rsidRDefault="00882EF1" w:rsidP="00837A61">
            <w:pPr>
              <w:pStyle w:val="ListParagraph"/>
              <w:numPr>
                <w:ilvl w:val="0"/>
                <w:numId w:val="10"/>
              </w:numPr>
              <w:ind w:left="317" w:hanging="317"/>
              <w:rPr>
                <w:rFonts w:ascii="Arial" w:hAnsi="Arial" w:cs="Arial"/>
                <w:sz w:val="20"/>
                <w:szCs w:val="20"/>
              </w:rPr>
            </w:pPr>
            <w:r w:rsidRPr="00EB5959">
              <w:rPr>
                <w:rFonts w:ascii="Arial" w:hAnsi="Arial" w:cs="Arial"/>
                <w:sz w:val="20"/>
                <w:szCs w:val="20"/>
              </w:rPr>
              <w:t>Support improving digital literacy among staff.</w:t>
            </w:r>
          </w:p>
          <w:p w14:paraId="195CA90D" w14:textId="77777777" w:rsidR="00BC4384" w:rsidRPr="00EB5959" w:rsidRDefault="00BC4384" w:rsidP="00837A61">
            <w:pPr>
              <w:pStyle w:val="ListParagraph"/>
              <w:ind w:left="317"/>
              <w:rPr>
                <w:rFonts w:ascii="Arial" w:hAnsi="Arial" w:cs="Arial"/>
                <w:i/>
                <w:iCs/>
                <w:sz w:val="20"/>
                <w:szCs w:val="20"/>
              </w:rPr>
            </w:pPr>
          </w:p>
          <w:p w14:paraId="43A237F0" w14:textId="73081D65" w:rsidR="00837A61" w:rsidRPr="00EB5959" w:rsidRDefault="00837A61" w:rsidP="00837A61">
            <w:pPr>
              <w:pStyle w:val="ListParagraph"/>
              <w:ind w:left="317"/>
              <w:rPr>
                <w:rFonts w:ascii="Arial" w:hAnsi="Arial" w:cs="Arial"/>
                <w:i/>
                <w:iCs/>
                <w:sz w:val="20"/>
                <w:szCs w:val="20"/>
              </w:rPr>
            </w:pPr>
            <w:r w:rsidRPr="00EB5959">
              <w:rPr>
                <w:rFonts w:ascii="Arial" w:hAnsi="Arial" w:cs="Arial"/>
                <w:i/>
                <w:iCs/>
                <w:sz w:val="20"/>
                <w:szCs w:val="20"/>
              </w:rPr>
              <w:t>Deliverables:</w:t>
            </w:r>
          </w:p>
          <w:p w14:paraId="71B61B3C" w14:textId="51DA84A0" w:rsidR="00837A61" w:rsidRPr="00EB5959" w:rsidRDefault="00BC4384" w:rsidP="00BC4384">
            <w:pPr>
              <w:pStyle w:val="ListParagraph"/>
              <w:numPr>
                <w:ilvl w:val="0"/>
                <w:numId w:val="23"/>
              </w:numPr>
              <w:ind w:left="317" w:hanging="141"/>
              <w:rPr>
                <w:rFonts w:ascii="Arial" w:hAnsi="Arial" w:cs="Arial"/>
                <w:sz w:val="20"/>
                <w:szCs w:val="20"/>
              </w:rPr>
            </w:pPr>
            <w:r w:rsidRPr="00EB5959">
              <w:rPr>
                <w:rFonts w:ascii="Arial" w:hAnsi="Arial" w:cs="Arial"/>
                <w:sz w:val="20"/>
                <w:szCs w:val="20"/>
              </w:rPr>
              <w:t>Delivery of short learning sessions (briefings, workshops) for MoH staff on digital governance, system design thinking, data-informed implementation of UHC reforms. Accompanied by simple reference materials.</w:t>
            </w:r>
          </w:p>
        </w:tc>
        <w:tc>
          <w:tcPr>
            <w:tcW w:w="1405" w:type="dxa"/>
            <w:vMerge/>
          </w:tcPr>
          <w:p w14:paraId="798AE6D5" w14:textId="77777777" w:rsidR="00882EF1" w:rsidRPr="00EB5959" w:rsidRDefault="00882EF1" w:rsidP="00882EF1">
            <w:pPr>
              <w:rPr>
                <w:rFonts w:ascii="Arial" w:hAnsi="Arial" w:cs="Arial"/>
                <w:sz w:val="20"/>
                <w:szCs w:val="20"/>
              </w:rPr>
            </w:pPr>
          </w:p>
        </w:tc>
      </w:tr>
      <w:tr w:rsidR="00882EF1" w:rsidRPr="00EB5959" w14:paraId="74356CCA" w14:textId="455B6A8B" w:rsidTr="00952AB3">
        <w:tc>
          <w:tcPr>
            <w:tcW w:w="7225" w:type="dxa"/>
          </w:tcPr>
          <w:p w14:paraId="22436925" w14:textId="77777777" w:rsidR="00882EF1" w:rsidRPr="00EB5959" w:rsidRDefault="00882EF1" w:rsidP="00837A61">
            <w:pPr>
              <w:pStyle w:val="ListParagraph"/>
              <w:numPr>
                <w:ilvl w:val="0"/>
                <w:numId w:val="10"/>
              </w:numPr>
              <w:ind w:left="317" w:hanging="317"/>
              <w:rPr>
                <w:rFonts w:ascii="Arial" w:hAnsi="Arial" w:cs="Arial"/>
                <w:sz w:val="20"/>
                <w:szCs w:val="20"/>
              </w:rPr>
            </w:pPr>
            <w:r w:rsidRPr="00EB5959">
              <w:rPr>
                <w:rFonts w:ascii="Arial" w:hAnsi="Arial" w:cs="Arial"/>
                <w:sz w:val="20"/>
                <w:szCs w:val="20"/>
              </w:rPr>
              <w:t>Prepare briefs, guidance notes, and lessons learned materials.</w:t>
            </w:r>
          </w:p>
          <w:p w14:paraId="0742DE43" w14:textId="77777777" w:rsidR="00986D0F" w:rsidRPr="00EB5959" w:rsidRDefault="00986D0F" w:rsidP="00837A61">
            <w:pPr>
              <w:pStyle w:val="ListParagraph"/>
              <w:ind w:left="317"/>
              <w:rPr>
                <w:rFonts w:ascii="Arial" w:hAnsi="Arial" w:cs="Arial"/>
                <w:i/>
                <w:iCs/>
                <w:sz w:val="20"/>
                <w:szCs w:val="20"/>
              </w:rPr>
            </w:pPr>
          </w:p>
          <w:p w14:paraId="0F2582F1" w14:textId="30AA105F" w:rsidR="00837A61" w:rsidRPr="00EB5959" w:rsidRDefault="00837A61" w:rsidP="00837A61">
            <w:pPr>
              <w:pStyle w:val="ListParagraph"/>
              <w:ind w:left="317"/>
              <w:rPr>
                <w:rFonts w:ascii="Arial" w:hAnsi="Arial" w:cs="Arial"/>
                <w:i/>
                <w:iCs/>
                <w:sz w:val="20"/>
                <w:szCs w:val="20"/>
              </w:rPr>
            </w:pPr>
            <w:r w:rsidRPr="00EB5959">
              <w:rPr>
                <w:rFonts w:ascii="Arial" w:hAnsi="Arial" w:cs="Arial"/>
                <w:i/>
                <w:iCs/>
                <w:sz w:val="20"/>
                <w:szCs w:val="20"/>
              </w:rPr>
              <w:t>Deliverables:</w:t>
            </w:r>
          </w:p>
          <w:p w14:paraId="127D83C9" w14:textId="239F1A27" w:rsidR="00837A61" w:rsidRPr="00EB5959" w:rsidRDefault="00986D0F" w:rsidP="00986D0F">
            <w:pPr>
              <w:pStyle w:val="ListParagraph"/>
              <w:numPr>
                <w:ilvl w:val="0"/>
                <w:numId w:val="23"/>
              </w:numPr>
              <w:ind w:left="317" w:hanging="141"/>
              <w:rPr>
                <w:rFonts w:ascii="Arial" w:hAnsi="Arial" w:cs="Arial"/>
                <w:sz w:val="20"/>
                <w:szCs w:val="20"/>
              </w:rPr>
            </w:pPr>
            <w:r w:rsidRPr="00EB5959">
              <w:rPr>
                <w:rFonts w:ascii="Arial" w:hAnsi="Arial" w:cs="Arial"/>
                <w:sz w:val="20"/>
                <w:szCs w:val="20"/>
              </w:rPr>
              <w:t xml:space="preserve">Set of concise briefs, guidance notes, and lessons learned summarizing: what worked, implementation challenges, recommendations for sustainability. Prepared jointly with the Policy Advisor </w:t>
            </w:r>
            <w:r w:rsidR="00B041C0">
              <w:rPr>
                <w:rFonts w:ascii="Arial" w:hAnsi="Arial" w:cs="Arial"/>
                <w:sz w:val="20"/>
                <w:szCs w:val="20"/>
              </w:rPr>
              <w:t xml:space="preserve">on UHC </w:t>
            </w:r>
            <w:r w:rsidRPr="00EB5959">
              <w:rPr>
                <w:rFonts w:ascii="Arial" w:hAnsi="Arial" w:cs="Arial"/>
                <w:sz w:val="20"/>
                <w:szCs w:val="20"/>
              </w:rPr>
              <w:t>where relevant.</w:t>
            </w:r>
          </w:p>
        </w:tc>
        <w:tc>
          <w:tcPr>
            <w:tcW w:w="1405" w:type="dxa"/>
            <w:vMerge/>
          </w:tcPr>
          <w:p w14:paraId="5F13282B" w14:textId="77777777" w:rsidR="00882EF1" w:rsidRPr="00EB5959" w:rsidRDefault="00882EF1" w:rsidP="00882EF1">
            <w:pPr>
              <w:rPr>
                <w:rFonts w:ascii="Arial" w:hAnsi="Arial" w:cs="Arial"/>
                <w:sz w:val="20"/>
                <w:szCs w:val="20"/>
              </w:rPr>
            </w:pPr>
          </w:p>
        </w:tc>
      </w:tr>
    </w:tbl>
    <w:p w14:paraId="2A746EAC" w14:textId="78EF1363" w:rsidR="00F31633" w:rsidRPr="00952AB3" w:rsidRDefault="00920BBC" w:rsidP="00952AB3">
      <w:pPr>
        <w:pStyle w:val="Heading2"/>
        <w:rPr>
          <w:rFonts w:ascii="Arial" w:hAnsi="Arial" w:cs="Arial"/>
          <w:b/>
          <w:bCs/>
          <w:sz w:val="20"/>
          <w:szCs w:val="20"/>
        </w:rPr>
      </w:pPr>
      <w:r w:rsidRPr="00952AB3">
        <w:rPr>
          <w:rFonts w:ascii="Arial" w:hAnsi="Arial" w:cs="Arial"/>
          <w:b/>
          <w:bCs/>
          <w:sz w:val="20"/>
          <w:szCs w:val="20"/>
        </w:rPr>
        <w:t>Qualifications and Experience</w:t>
      </w:r>
    </w:p>
    <w:p w14:paraId="45FE3692" w14:textId="77777777" w:rsidR="0077637C" w:rsidRPr="00EB5959" w:rsidRDefault="00920BBC" w:rsidP="00952AB3">
      <w:pPr>
        <w:spacing w:before="120" w:after="0"/>
        <w:rPr>
          <w:rFonts w:ascii="Arial" w:hAnsi="Arial" w:cs="Arial"/>
          <w:i/>
          <w:iCs/>
          <w:sz w:val="20"/>
          <w:szCs w:val="20"/>
        </w:rPr>
      </w:pPr>
      <w:r w:rsidRPr="00EB5959">
        <w:rPr>
          <w:rFonts w:ascii="Arial" w:hAnsi="Arial" w:cs="Arial"/>
          <w:i/>
          <w:iCs/>
          <w:sz w:val="20"/>
          <w:szCs w:val="20"/>
        </w:rPr>
        <w:t>Academic Qualifications</w:t>
      </w:r>
      <w:r w:rsidR="0077637C" w:rsidRPr="00EB5959">
        <w:rPr>
          <w:rFonts w:ascii="Arial" w:hAnsi="Arial" w:cs="Arial"/>
          <w:i/>
          <w:iCs/>
          <w:sz w:val="20"/>
          <w:szCs w:val="20"/>
        </w:rPr>
        <w:t xml:space="preserve"> and Professional Experience</w:t>
      </w:r>
    </w:p>
    <w:p w14:paraId="0D981EE7" w14:textId="6E3D6F29" w:rsidR="0077637C" w:rsidRPr="00EB5959" w:rsidRDefault="0077637C" w:rsidP="0077637C">
      <w:pPr>
        <w:pStyle w:val="ListParagraph"/>
        <w:numPr>
          <w:ilvl w:val="0"/>
          <w:numId w:val="12"/>
        </w:numPr>
        <w:spacing w:after="0"/>
        <w:jc w:val="both"/>
        <w:rPr>
          <w:rFonts w:ascii="Arial" w:hAnsi="Arial" w:cs="Arial"/>
          <w:sz w:val="20"/>
          <w:szCs w:val="20"/>
        </w:rPr>
      </w:pPr>
      <w:r w:rsidRPr="00EB5959">
        <w:rPr>
          <w:rFonts w:ascii="Arial" w:hAnsi="Arial" w:cs="Arial"/>
          <w:sz w:val="20"/>
          <w:szCs w:val="20"/>
        </w:rPr>
        <w:t>University degree in Information Technologies, Computer Science, Software Engineering, Digital Governance, or a related field. A Master’s degree in a relevant field is considered an asset.</w:t>
      </w:r>
    </w:p>
    <w:p w14:paraId="1FE6428F" w14:textId="0178D701" w:rsidR="0077637C" w:rsidRPr="00EB5959" w:rsidRDefault="0077637C" w:rsidP="0077637C">
      <w:pPr>
        <w:pStyle w:val="ListParagraph"/>
        <w:numPr>
          <w:ilvl w:val="0"/>
          <w:numId w:val="12"/>
        </w:numPr>
        <w:spacing w:after="0"/>
        <w:jc w:val="both"/>
        <w:rPr>
          <w:rFonts w:ascii="Arial" w:hAnsi="Arial" w:cs="Arial"/>
          <w:sz w:val="20"/>
          <w:szCs w:val="20"/>
        </w:rPr>
      </w:pPr>
      <w:r w:rsidRPr="00EB5959">
        <w:rPr>
          <w:rFonts w:ascii="Arial" w:hAnsi="Arial" w:cs="Arial"/>
          <w:sz w:val="20"/>
          <w:szCs w:val="20"/>
        </w:rPr>
        <w:t xml:space="preserve">Additional qualifications in project management, including those related to digital transformation, ICT management, enterprise architecture, or data governance, are an asset. </w:t>
      </w:r>
    </w:p>
    <w:p w14:paraId="78305411" w14:textId="77777777" w:rsidR="0077637C" w:rsidRPr="00EB5959" w:rsidRDefault="0077637C" w:rsidP="0077637C">
      <w:pPr>
        <w:pStyle w:val="ListParagraph"/>
        <w:numPr>
          <w:ilvl w:val="0"/>
          <w:numId w:val="12"/>
        </w:numPr>
        <w:spacing w:after="0"/>
        <w:jc w:val="both"/>
        <w:rPr>
          <w:rFonts w:ascii="Arial" w:hAnsi="Arial" w:cs="Arial"/>
          <w:sz w:val="20"/>
          <w:szCs w:val="20"/>
        </w:rPr>
      </w:pPr>
      <w:r w:rsidRPr="00EB5959">
        <w:rPr>
          <w:rFonts w:ascii="Arial" w:hAnsi="Arial" w:cs="Arial"/>
          <w:sz w:val="20"/>
          <w:szCs w:val="20"/>
        </w:rPr>
        <w:t xml:space="preserve">At least 5 years of experience in managing and delivering digital transformation initiatives, including work on e-governance, ICT systems, and large-scale public-sector modernization programmes. </w:t>
      </w:r>
    </w:p>
    <w:p w14:paraId="71160403" w14:textId="77777777" w:rsidR="0077637C" w:rsidRPr="00EB5959" w:rsidRDefault="0077637C" w:rsidP="0077637C">
      <w:pPr>
        <w:pStyle w:val="ListParagraph"/>
        <w:numPr>
          <w:ilvl w:val="0"/>
          <w:numId w:val="12"/>
        </w:numPr>
        <w:spacing w:after="0"/>
        <w:jc w:val="both"/>
        <w:rPr>
          <w:rFonts w:ascii="Arial" w:hAnsi="Arial" w:cs="Arial"/>
          <w:sz w:val="20"/>
          <w:szCs w:val="20"/>
        </w:rPr>
      </w:pPr>
      <w:r w:rsidRPr="00EB5959">
        <w:rPr>
          <w:rFonts w:ascii="Arial" w:hAnsi="Arial" w:cs="Arial"/>
          <w:sz w:val="20"/>
          <w:szCs w:val="20"/>
        </w:rPr>
        <w:t>Experience with interoperability frameworks, enterprise digital architecture, data governance, and multi-system integration.</w:t>
      </w:r>
    </w:p>
    <w:p w14:paraId="74A4E065" w14:textId="29BB18FF" w:rsidR="0077637C" w:rsidRPr="00EB5959" w:rsidRDefault="0077637C" w:rsidP="0077637C">
      <w:pPr>
        <w:pStyle w:val="ListParagraph"/>
        <w:numPr>
          <w:ilvl w:val="0"/>
          <w:numId w:val="12"/>
        </w:numPr>
        <w:spacing w:after="0"/>
        <w:jc w:val="both"/>
        <w:rPr>
          <w:rFonts w:ascii="Arial" w:hAnsi="Arial" w:cs="Arial"/>
          <w:sz w:val="20"/>
          <w:szCs w:val="20"/>
        </w:rPr>
      </w:pPr>
      <w:r w:rsidRPr="00EB5959">
        <w:rPr>
          <w:rFonts w:ascii="Arial" w:hAnsi="Arial" w:cs="Arial"/>
          <w:sz w:val="20"/>
          <w:szCs w:val="20"/>
        </w:rPr>
        <w:t>Experience working in national authorities or government-led digitalization programmes</w:t>
      </w:r>
      <w:r w:rsidR="00B041C0" w:rsidRPr="00B041C0">
        <w:rPr>
          <w:rFonts w:ascii="Arial" w:hAnsi="Arial" w:cs="Arial"/>
          <w:sz w:val="20"/>
          <w:szCs w:val="20"/>
        </w:rPr>
        <w:t xml:space="preserve"> </w:t>
      </w:r>
      <w:r w:rsidR="00B041C0">
        <w:rPr>
          <w:rFonts w:ascii="Arial" w:hAnsi="Arial" w:cs="Arial"/>
          <w:sz w:val="20"/>
          <w:szCs w:val="20"/>
        </w:rPr>
        <w:t>of the Republic of Moldova</w:t>
      </w:r>
      <w:r w:rsidRPr="00EB5959">
        <w:rPr>
          <w:rFonts w:ascii="Arial" w:hAnsi="Arial" w:cs="Arial"/>
          <w:sz w:val="20"/>
          <w:szCs w:val="20"/>
        </w:rPr>
        <w:t>, including policy translation into system requirements.</w:t>
      </w:r>
    </w:p>
    <w:p w14:paraId="744185E3" w14:textId="77777777" w:rsidR="0077637C" w:rsidRPr="00EB5959" w:rsidRDefault="0077637C" w:rsidP="0077637C">
      <w:pPr>
        <w:pStyle w:val="ListParagraph"/>
        <w:numPr>
          <w:ilvl w:val="0"/>
          <w:numId w:val="12"/>
        </w:numPr>
        <w:spacing w:after="0"/>
        <w:jc w:val="both"/>
        <w:rPr>
          <w:rFonts w:ascii="Arial" w:hAnsi="Arial" w:cs="Arial"/>
          <w:sz w:val="20"/>
          <w:szCs w:val="20"/>
        </w:rPr>
      </w:pPr>
      <w:r w:rsidRPr="00EB5959">
        <w:rPr>
          <w:rFonts w:ascii="Arial" w:hAnsi="Arial" w:cs="Arial"/>
          <w:sz w:val="20"/>
          <w:szCs w:val="20"/>
        </w:rPr>
        <w:t>Experience in digitalization of social sectors (health, education, or related fields) is an asset.</w:t>
      </w:r>
    </w:p>
    <w:p w14:paraId="10BA57C5" w14:textId="77777777" w:rsidR="0077637C" w:rsidRPr="00EB5959" w:rsidRDefault="0077637C" w:rsidP="0077637C">
      <w:pPr>
        <w:pStyle w:val="ListParagraph"/>
        <w:numPr>
          <w:ilvl w:val="0"/>
          <w:numId w:val="12"/>
        </w:numPr>
        <w:spacing w:after="0"/>
        <w:jc w:val="both"/>
        <w:rPr>
          <w:rFonts w:ascii="Arial" w:hAnsi="Arial" w:cs="Arial"/>
          <w:sz w:val="20"/>
          <w:szCs w:val="20"/>
        </w:rPr>
      </w:pPr>
      <w:r w:rsidRPr="00EB5959">
        <w:rPr>
          <w:rFonts w:ascii="Arial" w:hAnsi="Arial" w:cs="Arial"/>
          <w:sz w:val="20"/>
          <w:szCs w:val="20"/>
        </w:rPr>
        <w:t>Practical experience in project management in digital transformation, including coordination of multi-stakeholder teams, development of technical documentation, and oversight of system implementation processes.</w:t>
      </w:r>
    </w:p>
    <w:p w14:paraId="57C5CF3F" w14:textId="58687E84" w:rsidR="0077637C" w:rsidRPr="00EB5959" w:rsidRDefault="0077637C" w:rsidP="0077637C">
      <w:pPr>
        <w:pStyle w:val="ListParagraph"/>
        <w:numPr>
          <w:ilvl w:val="0"/>
          <w:numId w:val="12"/>
        </w:numPr>
        <w:spacing w:after="0"/>
        <w:jc w:val="both"/>
        <w:rPr>
          <w:rFonts w:ascii="Arial" w:hAnsi="Arial" w:cs="Arial"/>
          <w:sz w:val="20"/>
          <w:szCs w:val="20"/>
        </w:rPr>
      </w:pPr>
      <w:r w:rsidRPr="00EB5959">
        <w:rPr>
          <w:rFonts w:ascii="Arial" w:hAnsi="Arial" w:cs="Arial"/>
          <w:sz w:val="20"/>
          <w:szCs w:val="20"/>
        </w:rPr>
        <w:t xml:space="preserve">Experience working in international organizations </w:t>
      </w:r>
      <w:r w:rsidR="00B041C0">
        <w:rPr>
          <w:rFonts w:ascii="Arial" w:hAnsi="Arial" w:cs="Arial"/>
          <w:sz w:val="20"/>
          <w:szCs w:val="20"/>
        </w:rPr>
        <w:t>or</w:t>
      </w:r>
      <w:r w:rsidRPr="00EB5959">
        <w:rPr>
          <w:rFonts w:ascii="Arial" w:hAnsi="Arial" w:cs="Arial"/>
          <w:sz w:val="20"/>
          <w:szCs w:val="20"/>
        </w:rPr>
        <w:t xml:space="preserve"> </w:t>
      </w:r>
      <w:r w:rsidR="00B041C0">
        <w:rPr>
          <w:rFonts w:ascii="Arial" w:hAnsi="Arial" w:cs="Arial"/>
          <w:sz w:val="20"/>
          <w:szCs w:val="20"/>
        </w:rPr>
        <w:t xml:space="preserve">for </w:t>
      </w:r>
      <w:r w:rsidRPr="00EB5959">
        <w:rPr>
          <w:rFonts w:ascii="Arial" w:hAnsi="Arial" w:cs="Arial"/>
          <w:sz w:val="20"/>
          <w:szCs w:val="20"/>
        </w:rPr>
        <w:t>development partners is a strong advantage.</w:t>
      </w:r>
    </w:p>
    <w:p w14:paraId="2AC96F31" w14:textId="77777777" w:rsidR="00F31633" w:rsidRPr="00EB5959" w:rsidRDefault="00920BBC" w:rsidP="003A0F9E">
      <w:pPr>
        <w:spacing w:before="120" w:after="0"/>
        <w:rPr>
          <w:rFonts w:ascii="Arial" w:hAnsi="Arial" w:cs="Arial"/>
          <w:i/>
          <w:iCs/>
          <w:sz w:val="20"/>
          <w:szCs w:val="20"/>
        </w:rPr>
      </w:pPr>
      <w:r w:rsidRPr="00EB5959">
        <w:rPr>
          <w:rFonts w:ascii="Arial" w:hAnsi="Arial" w:cs="Arial"/>
          <w:i/>
          <w:iCs/>
          <w:sz w:val="20"/>
          <w:szCs w:val="20"/>
        </w:rPr>
        <w:t>Skills and Competencies</w:t>
      </w:r>
    </w:p>
    <w:p w14:paraId="04A0F9CB" w14:textId="5AEF0B97" w:rsidR="0077637C" w:rsidRPr="00EB5959" w:rsidRDefault="0077637C" w:rsidP="0077637C">
      <w:pPr>
        <w:pStyle w:val="ListParagraph"/>
        <w:numPr>
          <w:ilvl w:val="0"/>
          <w:numId w:val="12"/>
        </w:numPr>
        <w:spacing w:after="0"/>
        <w:jc w:val="both"/>
        <w:rPr>
          <w:rFonts w:ascii="Arial" w:hAnsi="Arial" w:cs="Arial"/>
          <w:sz w:val="20"/>
          <w:szCs w:val="20"/>
        </w:rPr>
      </w:pPr>
      <w:r w:rsidRPr="00EB5959">
        <w:rPr>
          <w:rFonts w:ascii="Arial" w:hAnsi="Arial" w:cs="Arial"/>
          <w:sz w:val="20"/>
          <w:szCs w:val="20"/>
        </w:rPr>
        <w:t>Strong understanding of digital governance, interoperability, system architecture and standards</w:t>
      </w:r>
      <w:r w:rsidR="00B041C0">
        <w:rPr>
          <w:rFonts w:ascii="Arial" w:hAnsi="Arial" w:cs="Arial"/>
          <w:sz w:val="20"/>
          <w:szCs w:val="20"/>
        </w:rPr>
        <w:t xml:space="preserve"> in the Republic of Moldova</w:t>
      </w:r>
      <w:r w:rsidRPr="00EB5959">
        <w:rPr>
          <w:rFonts w:ascii="Arial" w:hAnsi="Arial" w:cs="Arial"/>
          <w:sz w:val="20"/>
          <w:szCs w:val="20"/>
        </w:rPr>
        <w:t>.</w:t>
      </w:r>
    </w:p>
    <w:p w14:paraId="2E9B8AA2" w14:textId="77777777" w:rsidR="0077637C" w:rsidRPr="00EB5959" w:rsidRDefault="0077637C" w:rsidP="0077637C">
      <w:pPr>
        <w:pStyle w:val="ListParagraph"/>
        <w:numPr>
          <w:ilvl w:val="0"/>
          <w:numId w:val="12"/>
        </w:numPr>
        <w:spacing w:after="0"/>
        <w:jc w:val="both"/>
        <w:rPr>
          <w:rFonts w:ascii="Arial" w:hAnsi="Arial" w:cs="Arial"/>
          <w:sz w:val="20"/>
          <w:szCs w:val="20"/>
        </w:rPr>
      </w:pPr>
      <w:r w:rsidRPr="00EB5959">
        <w:rPr>
          <w:rFonts w:ascii="Arial" w:hAnsi="Arial" w:cs="Arial"/>
          <w:sz w:val="20"/>
          <w:szCs w:val="20"/>
        </w:rPr>
        <w:t>Ability to translate policy objectives into system design, governance mechanism, and digital transformation requirements.</w:t>
      </w:r>
    </w:p>
    <w:p w14:paraId="202230EF" w14:textId="77777777" w:rsidR="0077637C" w:rsidRPr="00EB5959" w:rsidRDefault="0077637C" w:rsidP="0077637C">
      <w:pPr>
        <w:pStyle w:val="ListParagraph"/>
        <w:numPr>
          <w:ilvl w:val="0"/>
          <w:numId w:val="12"/>
        </w:numPr>
        <w:spacing w:after="0"/>
        <w:jc w:val="both"/>
        <w:rPr>
          <w:rFonts w:ascii="Arial" w:hAnsi="Arial" w:cs="Arial"/>
          <w:sz w:val="20"/>
          <w:szCs w:val="20"/>
        </w:rPr>
      </w:pPr>
      <w:r w:rsidRPr="00EB5959">
        <w:rPr>
          <w:rFonts w:ascii="Arial" w:hAnsi="Arial" w:cs="Arial"/>
          <w:sz w:val="20"/>
          <w:szCs w:val="20"/>
        </w:rPr>
        <w:t>Proven coordination, facilitation, and multi-stakeholder engagement skills, including work with ministries, public agencies, international organizations, and development partners.</w:t>
      </w:r>
    </w:p>
    <w:p w14:paraId="5ABC109F" w14:textId="47E2E1DD" w:rsidR="0077637C" w:rsidRPr="00EB5959" w:rsidRDefault="0077637C" w:rsidP="0077637C">
      <w:pPr>
        <w:pStyle w:val="ListParagraph"/>
        <w:numPr>
          <w:ilvl w:val="0"/>
          <w:numId w:val="12"/>
        </w:numPr>
        <w:spacing w:after="0"/>
        <w:jc w:val="both"/>
        <w:rPr>
          <w:rFonts w:ascii="Arial" w:hAnsi="Arial" w:cs="Arial"/>
          <w:sz w:val="20"/>
          <w:szCs w:val="20"/>
        </w:rPr>
      </w:pPr>
      <w:r w:rsidRPr="00EB5959">
        <w:rPr>
          <w:rFonts w:ascii="Arial" w:hAnsi="Arial" w:cs="Arial"/>
          <w:sz w:val="20"/>
          <w:szCs w:val="20"/>
        </w:rPr>
        <w:t>Proficiency in project management methodologies and ability to guide complex reform processes.</w:t>
      </w:r>
    </w:p>
    <w:p w14:paraId="7BD68EC2" w14:textId="5D5ECD14" w:rsidR="0077637C" w:rsidRPr="00EB5959" w:rsidRDefault="0077637C" w:rsidP="0077637C">
      <w:pPr>
        <w:pStyle w:val="ListParagraph"/>
        <w:numPr>
          <w:ilvl w:val="0"/>
          <w:numId w:val="12"/>
        </w:numPr>
        <w:spacing w:after="0"/>
        <w:jc w:val="both"/>
        <w:rPr>
          <w:rFonts w:ascii="Arial" w:hAnsi="Arial" w:cs="Arial"/>
          <w:sz w:val="20"/>
          <w:szCs w:val="20"/>
        </w:rPr>
      </w:pPr>
      <w:r w:rsidRPr="00EB5959">
        <w:rPr>
          <w:rFonts w:ascii="Arial" w:hAnsi="Arial" w:cs="Arial"/>
          <w:sz w:val="20"/>
          <w:szCs w:val="20"/>
        </w:rPr>
        <w:t xml:space="preserve">Familiarity with EU digital governance principles and international standards (knowledge of </w:t>
      </w:r>
      <w:r w:rsidR="00920BBC" w:rsidRPr="00920BBC">
        <w:rPr>
          <w:rFonts w:ascii="Arial" w:hAnsi="Arial" w:cs="Arial"/>
          <w:sz w:val="20"/>
          <w:szCs w:val="20"/>
        </w:rPr>
        <w:t>European Health Data Space</w:t>
      </w:r>
      <w:r w:rsidR="00920BBC">
        <w:rPr>
          <w:rFonts w:ascii="Arial" w:hAnsi="Arial" w:cs="Arial"/>
          <w:sz w:val="20"/>
          <w:szCs w:val="20"/>
        </w:rPr>
        <w:t xml:space="preserve"> (</w:t>
      </w:r>
      <w:r w:rsidRPr="00EB5959">
        <w:rPr>
          <w:rFonts w:ascii="Arial" w:hAnsi="Arial" w:cs="Arial"/>
          <w:sz w:val="20"/>
          <w:szCs w:val="20"/>
        </w:rPr>
        <w:t>EHDS</w:t>
      </w:r>
      <w:r w:rsidR="00920BBC">
        <w:rPr>
          <w:rFonts w:ascii="Arial" w:hAnsi="Arial" w:cs="Arial"/>
          <w:sz w:val="20"/>
          <w:szCs w:val="20"/>
        </w:rPr>
        <w:t>)</w:t>
      </w:r>
      <w:r w:rsidRPr="00EB5959">
        <w:rPr>
          <w:rFonts w:ascii="Arial" w:hAnsi="Arial" w:cs="Arial"/>
          <w:sz w:val="20"/>
          <w:szCs w:val="20"/>
        </w:rPr>
        <w:t>/WHO guidelines is an asset).</w:t>
      </w:r>
    </w:p>
    <w:p w14:paraId="712F9100" w14:textId="77777777" w:rsidR="0077637C" w:rsidRPr="00EB5959" w:rsidRDefault="0077637C" w:rsidP="0077637C">
      <w:pPr>
        <w:pStyle w:val="ListParagraph"/>
        <w:numPr>
          <w:ilvl w:val="0"/>
          <w:numId w:val="12"/>
        </w:numPr>
        <w:spacing w:after="0"/>
        <w:jc w:val="both"/>
        <w:rPr>
          <w:rFonts w:ascii="Arial" w:hAnsi="Arial" w:cs="Arial"/>
          <w:sz w:val="20"/>
          <w:szCs w:val="20"/>
        </w:rPr>
      </w:pPr>
      <w:r w:rsidRPr="00EB5959">
        <w:rPr>
          <w:rFonts w:ascii="Arial" w:hAnsi="Arial" w:cs="Arial"/>
          <w:sz w:val="20"/>
          <w:szCs w:val="20"/>
        </w:rPr>
        <w:lastRenderedPageBreak/>
        <w:t>Strong analytical, communication, and advisory skills, with the ability to prepare briefs, guidance documents, and technical recommendations for senior decision-makers.</w:t>
      </w:r>
    </w:p>
    <w:p w14:paraId="05049763" w14:textId="6465F15F" w:rsidR="00120940" w:rsidRPr="00EB5959" w:rsidRDefault="00120940" w:rsidP="0077637C">
      <w:pPr>
        <w:pStyle w:val="ListParagraph"/>
        <w:numPr>
          <w:ilvl w:val="0"/>
          <w:numId w:val="12"/>
        </w:numPr>
        <w:spacing w:after="0"/>
        <w:jc w:val="both"/>
        <w:rPr>
          <w:rFonts w:ascii="Arial" w:hAnsi="Arial" w:cs="Arial"/>
          <w:sz w:val="20"/>
          <w:szCs w:val="20"/>
        </w:rPr>
      </w:pPr>
      <w:r w:rsidRPr="00EB5959">
        <w:rPr>
          <w:rFonts w:ascii="Arial" w:hAnsi="Arial" w:cs="Arial"/>
          <w:sz w:val="20"/>
          <w:szCs w:val="20"/>
        </w:rPr>
        <w:t xml:space="preserve">Fluency in Romanian and English; Russian </w:t>
      </w:r>
      <w:r w:rsidR="00B041C0">
        <w:rPr>
          <w:rFonts w:ascii="Arial" w:hAnsi="Arial" w:cs="Arial"/>
          <w:sz w:val="20"/>
          <w:szCs w:val="20"/>
        </w:rPr>
        <w:t xml:space="preserve">is </w:t>
      </w:r>
      <w:r w:rsidRPr="00EB5959">
        <w:rPr>
          <w:rFonts w:ascii="Arial" w:hAnsi="Arial" w:cs="Arial"/>
          <w:sz w:val="20"/>
          <w:szCs w:val="20"/>
        </w:rPr>
        <w:t>an asset.</w:t>
      </w:r>
    </w:p>
    <w:p w14:paraId="64D07785" w14:textId="665E2E95" w:rsidR="00F31633" w:rsidRPr="00952AB3" w:rsidRDefault="00920BBC" w:rsidP="00952AB3">
      <w:pPr>
        <w:pStyle w:val="Heading2"/>
        <w:rPr>
          <w:rFonts w:ascii="Arial" w:hAnsi="Arial" w:cs="Arial"/>
          <w:b/>
          <w:bCs/>
          <w:sz w:val="20"/>
          <w:szCs w:val="20"/>
        </w:rPr>
      </w:pPr>
      <w:r w:rsidRPr="00952AB3">
        <w:rPr>
          <w:rFonts w:ascii="Arial" w:hAnsi="Arial" w:cs="Arial"/>
          <w:b/>
          <w:bCs/>
          <w:sz w:val="20"/>
          <w:szCs w:val="20"/>
        </w:rPr>
        <w:t>Duration of Assignment</w:t>
      </w:r>
    </w:p>
    <w:p w14:paraId="2C86099A" w14:textId="6124B2AC" w:rsidR="00F31633" w:rsidRPr="00EB5959" w:rsidRDefault="00920BBC">
      <w:pPr>
        <w:rPr>
          <w:rFonts w:ascii="Arial" w:hAnsi="Arial" w:cs="Arial"/>
          <w:sz w:val="20"/>
          <w:szCs w:val="20"/>
        </w:rPr>
      </w:pPr>
      <w:r w:rsidRPr="00EB5959">
        <w:rPr>
          <w:rFonts w:ascii="Arial" w:hAnsi="Arial" w:cs="Arial"/>
          <w:sz w:val="20"/>
          <w:szCs w:val="20"/>
        </w:rPr>
        <w:t xml:space="preserve">Up to </w:t>
      </w:r>
      <w:r>
        <w:rPr>
          <w:rFonts w:ascii="Arial" w:hAnsi="Arial" w:cs="Arial"/>
          <w:sz w:val="20"/>
          <w:szCs w:val="20"/>
        </w:rPr>
        <w:t>250</w:t>
      </w:r>
      <w:r w:rsidR="005F1584" w:rsidRPr="00EB5959">
        <w:rPr>
          <w:rFonts w:ascii="Arial" w:hAnsi="Arial" w:cs="Arial"/>
          <w:sz w:val="20"/>
          <w:szCs w:val="20"/>
        </w:rPr>
        <w:t xml:space="preserve"> full</w:t>
      </w:r>
      <w:r w:rsidRPr="00EB5959">
        <w:rPr>
          <w:rFonts w:ascii="Arial" w:hAnsi="Arial" w:cs="Arial"/>
          <w:sz w:val="20"/>
          <w:szCs w:val="20"/>
        </w:rPr>
        <w:t xml:space="preserve"> working days between 1 </w:t>
      </w:r>
      <w:r w:rsidR="0077637C" w:rsidRPr="00EB5959">
        <w:rPr>
          <w:rFonts w:ascii="Arial" w:hAnsi="Arial" w:cs="Arial"/>
          <w:sz w:val="20"/>
          <w:szCs w:val="20"/>
        </w:rPr>
        <w:t>February</w:t>
      </w:r>
      <w:r w:rsidRPr="00EB5959">
        <w:rPr>
          <w:rFonts w:ascii="Arial" w:hAnsi="Arial" w:cs="Arial"/>
          <w:sz w:val="20"/>
          <w:szCs w:val="20"/>
        </w:rPr>
        <w:t xml:space="preserve"> 202</w:t>
      </w:r>
      <w:r w:rsidR="00882EF1" w:rsidRPr="00EB5959">
        <w:rPr>
          <w:rFonts w:ascii="Arial" w:hAnsi="Arial" w:cs="Arial"/>
          <w:sz w:val="20"/>
          <w:szCs w:val="20"/>
        </w:rPr>
        <w:t>6</w:t>
      </w:r>
      <w:r w:rsidRPr="00EB5959">
        <w:rPr>
          <w:rFonts w:ascii="Arial" w:hAnsi="Arial" w:cs="Arial"/>
          <w:sz w:val="20"/>
          <w:szCs w:val="20"/>
        </w:rPr>
        <w:t xml:space="preserve"> – 30 </w:t>
      </w:r>
      <w:r w:rsidR="005F1584" w:rsidRPr="00EB5959">
        <w:rPr>
          <w:rFonts w:ascii="Arial" w:hAnsi="Arial" w:cs="Arial"/>
          <w:sz w:val="20"/>
          <w:szCs w:val="20"/>
        </w:rPr>
        <w:t>June</w:t>
      </w:r>
      <w:r w:rsidR="00882EF1" w:rsidRPr="00EB5959">
        <w:rPr>
          <w:rFonts w:ascii="Arial" w:hAnsi="Arial" w:cs="Arial"/>
          <w:sz w:val="20"/>
          <w:szCs w:val="20"/>
        </w:rPr>
        <w:t xml:space="preserve"> </w:t>
      </w:r>
      <w:r w:rsidRPr="00EB5959">
        <w:rPr>
          <w:rFonts w:ascii="Arial" w:hAnsi="Arial" w:cs="Arial"/>
          <w:sz w:val="20"/>
          <w:szCs w:val="20"/>
        </w:rPr>
        <w:t>2027.</w:t>
      </w:r>
    </w:p>
    <w:p w14:paraId="2D2B1C15" w14:textId="1511E154" w:rsidR="00F31633" w:rsidRPr="00952AB3" w:rsidRDefault="00920BBC" w:rsidP="00952AB3">
      <w:pPr>
        <w:pStyle w:val="Heading2"/>
        <w:rPr>
          <w:rFonts w:ascii="Arial" w:hAnsi="Arial" w:cs="Arial"/>
          <w:b/>
          <w:bCs/>
          <w:sz w:val="20"/>
          <w:szCs w:val="20"/>
        </w:rPr>
      </w:pPr>
      <w:r w:rsidRPr="00952AB3">
        <w:rPr>
          <w:rFonts w:ascii="Arial" w:hAnsi="Arial" w:cs="Arial"/>
          <w:b/>
          <w:bCs/>
          <w:sz w:val="20"/>
          <w:szCs w:val="20"/>
        </w:rPr>
        <w:t>Coordination, Reporting, and Administrative Provisions</w:t>
      </w:r>
    </w:p>
    <w:p w14:paraId="6C311F61" w14:textId="0D939C29" w:rsidR="0077637C" w:rsidRPr="00EB5959" w:rsidRDefault="0077637C" w:rsidP="005F1584">
      <w:pPr>
        <w:pStyle w:val="Heading2"/>
        <w:keepLines w:val="0"/>
        <w:widowControl w:val="0"/>
        <w:jc w:val="both"/>
        <w:rPr>
          <w:rFonts w:ascii="Arial" w:eastAsiaTheme="minorEastAsia" w:hAnsi="Arial" w:cs="Arial"/>
          <w:color w:val="auto"/>
          <w:sz w:val="20"/>
          <w:szCs w:val="20"/>
        </w:rPr>
      </w:pPr>
      <w:r w:rsidRPr="00EB5959">
        <w:rPr>
          <w:rFonts w:ascii="Arial" w:eastAsiaTheme="minorEastAsia" w:hAnsi="Arial" w:cs="Arial"/>
          <w:color w:val="auto"/>
          <w:sz w:val="20"/>
          <w:szCs w:val="20"/>
        </w:rPr>
        <w:t xml:space="preserve">The Policy </w:t>
      </w:r>
      <w:r w:rsidR="00B041C0">
        <w:rPr>
          <w:rFonts w:ascii="Arial" w:eastAsiaTheme="minorEastAsia" w:hAnsi="Arial" w:cs="Arial"/>
          <w:color w:val="auto"/>
          <w:sz w:val="20"/>
          <w:szCs w:val="20"/>
        </w:rPr>
        <w:t>A</w:t>
      </w:r>
      <w:r w:rsidRPr="00EB5959">
        <w:rPr>
          <w:rFonts w:ascii="Arial" w:eastAsiaTheme="minorEastAsia" w:hAnsi="Arial" w:cs="Arial"/>
          <w:color w:val="auto"/>
          <w:sz w:val="20"/>
          <w:szCs w:val="20"/>
        </w:rPr>
        <w:t xml:space="preserve">dvisor </w:t>
      </w:r>
      <w:r w:rsidR="00B041C0">
        <w:rPr>
          <w:rFonts w:ascii="Arial" w:eastAsiaTheme="minorEastAsia" w:hAnsi="Arial" w:cs="Arial"/>
          <w:color w:val="auto"/>
          <w:sz w:val="20"/>
          <w:szCs w:val="20"/>
        </w:rPr>
        <w:t xml:space="preserve">on Digitalization </w:t>
      </w:r>
      <w:r w:rsidRPr="00EB5959">
        <w:rPr>
          <w:rFonts w:ascii="Arial" w:eastAsiaTheme="minorEastAsia" w:hAnsi="Arial" w:cs="Arial"/>
          <w:color w:val="auto"/>
          <w:sz w:val="20"/>
          <w:szCs w:val="20"/>
        </w:rPr>
        <w:t xml:space="preserve">will be mandated and contracted by the Swiss Cooperation Office (SCO) and will report to the National Programme Officer (NPO) for Health within the SCO, through regular meetings/ exchanges and written quarterly reports. Quarterly meetings (online if not possible in person) will be held between the Policy advisor, the responsible person from the MoH and the NPO Health at the SCO to review progress towards the expected results. </w:t>
      </w:r>
    </w:p>
    <w:p w14:paraId="5F2C7D3F" w14:textId="72DA8471" w:rsidR="004A69C2" w:rsidRPr="00EB5959" w:rsidRDefault="004A69C2" w:rsidP="004A69C2">
      <w:pPr>
        <w:spacing w:before="240"/>
        <w:jc w:val="both"/>
        <w:rPr>
          <w:rFonts w:ascii="Arial" w:hAnsi="Arial" w:cs="Arial"/>
          <w:color w:val="000000"/>
          <w:sz w:val="20"/>
          <w:szCs w:val="20"/>
          <w:lang w:val="en-GB" w:eastAsia="de-CH"/>
        </w:rPr>
      </w:pPr>
      <w:r w:rsidRPr="00EB5959">
        <w:rPr>
          <w:rFonts w:ascii="Arial" w:hAnsi="Arial" w:cs="Arial"/>
          <w:color w:val="000000"/>
          <w:sz w:val="20"/>
          <w:szCs w:val="20"/>
          <w:lang w:val="en-GB" w:eastAsia="de-CH"/>
        </w:rPr>
        <w:t xml:space="preserve">The </w:t>
      </w:r>
      <w:r w:rsidR="00B041C0">
        <w:rPr>
          <w:rFonts w:ascii="Arial" w:hAnsi="Arial" w:cs="Arial"/>
          <w:color w:val="000000"/>
          <w:sz w:val="20"/>
          <w:szCs w:val="20"/>
          <w:lang w:val="en-GB" w:eastAsia="de-CH"/>
        </w:rPr>
        <w:t>Policy</w:t>
      </w:r>
      <w:r w:rsidRPr="00EB5959">
        <w:rPr>
          <w:rFonts w:ascii="Arial" w:hAnsi="Arial" w:cs="Arial"/>
          <w:color w:val="000000"/>
          <w:sz w:val="20"/>
          <w:szCs w:val="20"/>
          <w:lang w:val="en-GB" w:eastAsia="de-CH"/>
        </w:rPr>
        <w:t xml:space="preserve"> Advisor </w:t>
      </w:r>
      <w:r w:rsidR="00B041C0">
        <w:rPr>
          <w:rFonts w:ascii="Arial" w:hAnsi="Arial" w:cs="Arial"/>
          <w:color w:val="000000"/>
          <w:sz w:val="20"/>
          <w:szCs w:val="20"/>
          <w:lang w:val="en-GB" w:eastAsia="de-CH"/>
        </w:rPr>
        <w:t xml:space="preserve">on Digitalization </w:t>
      </w:r>
      <w:r w:rsidRPr="00EB5959">
        <w:rPr>
          <w:rFonts w:ascii="Arial" w:hAnsi="Arial" w:cs="Arial"/>
          <w:color w:val="000000"/>
          <w:sz w:val="20"/>
          <w:szCs w:val="20"/>
          <w:lang w:val="en-GB" w:eastAsia="de-CH"/>
        </w:rPr>
        <w:t>will present the following reports to the SCO:</w:t>
      </w:r>
    </w:p>
    <w:p w14:paraId="7805D558" w14:textId="52D28E9D" w:rsidR="004C4CB6" w:rsidRPr="004C4CB6" w:rsidRDefault="004C4CB6" w:rsidP="00952AB3">
      <w:pPr>
        <w:pStyle w:val="NormalWeb"/>
        <w:numPr>
          <w:ilvl w:val="0"/>
          <w:numId w:val="28"/>
        </w:numPr>
        <w:spacing w:before="0" w:beforeAutospacing="0" w:after="0" w:afterAutospacing="0"/>
        <w:ind w:left="284" w:hanging="284"/>
        <w:jc w:val="both"/>
        <w:rPr>
          <w:rFonts w:ascii="Arial" w:hAnsi="Arial" w:cs="Arial"/>
          <w:sz w:val="20"/>
          <w:szCs w:val="20"/>
          <w:lang w:val="en-US"/>
        </w:rPr>
      </w:pPr>
      <w:r w:rsidRPr="004C4CB6">
        <w:rPr>
          <w:rStyle w:val="Strong"/>
          <w:rFonts w:ascii="Arial" w:hAnsi="Arial" w:cs="Arial"/>
          <w:sz w:val="20"/>
          <w:szCs w:val="20"/>
          <w:lang w:val="en-US"/>
        </w:rPr>
        <w:t>Regular (quarterly) narrative progress reports</w:t>
      </w:r>
      <w:r w:rsidRPr="004C4CB6">
        <w:rPr>
          <w:rFonts w:ascii="Arial" w:hAnsi="Arial" w:cs="Arial"/>
          <w:sz w:val="20"/>
          <w:szCs w:val="20"/>
          <w:lang w:val="en-US"/>
        </w:rPr>
        <w:t xml:space="preserve"> documenting progress in supporting the digital and data-related enablers of UHC implementation. The reports will highlight:</w:t>
      </w:r>
    </w:p>
    <w:p w14:paraId="12D67719" w14:textId="77777777" w:rsidR="004C4CB6" w:rsidRPr="004C4CB6" w:rsidRDefault="004C4CB6" w:rsidP="00952AB3">
      <w:pPr>
        <w:pStyle w:val="NormalWeb"/>
        <w:numPr>
          <w:ilvl w:val="0"/>
          <w:numId w:val="29"/>
        </w:numPr>
        <w:spacing w:before="0" w:beforeAutospacing="0" w:after="0" w:afterAutospacing="0"/>
        <w:ind w:left="284" w:hanging="142"/>
        <w:jc w:val="both"/>
        <w:rPr>
          <w:rFonts w:ascii="Arial" w:hAnsi="Arial" w:cs="Arial"/>
          <w:sz w:val="20"/>
          <w:szCs w:val="20"/>
          <w:lang w:val="en-US"/>
        </w:rPr>
      </w:pPr>
      <w:r w:rsidRPr="004C4CB6">
        <w:rPr>
          <w:rFonts w:ascii="Arial" w:hAnsi="Arial" w:cs="Arial"/>
          <w:sz w:val="20"/>
          <w:szCs w:val="20"/>
          <w:lang w:val="en-US"/>
        </w:rPr>
        <w:t>key advisory support provided in the areas of digital governance, system design, interoperability, and data use;</w:t>
      </w:r>
    </w:p>
    <w:p w14:paraId="48A3C3BD" w14:textId="77777777" w:rsidR="004C4CB6" w:rsidRPr="004C4CB6" w:rsidRDefault="004C4CB6" w:rsidP="00952AB3">
      <w:pPr>
        <w:pStyle w:val="NormalWeb"/>
        <w:numPr>
          <w:ilvl w:val="0"/>
          <w:numId w:val="29"/>
        </w:numPr>
        <w:spacing w:before="0" w:beforeAutospacing="0" w:after="0" w:afterAutospacing="0"/>
        <w:ind w:left="284" w:hanging="142"/>
        <w:jc w:val="both"/>
        <w:rPr>
          <w:rFonts w:ascii="Arial" w:hAnsi="Arial" w:cs="Arial"/>
          <w:sz w:val="20"/>
          <w:szCs w:val="20"/>
          <w:lang w:val="en-US"/>
        </w:rPr>
      </w:pPr>
      <w:r w:rsidRPr="004C4CB6">
        <w:rPr>
          <w:rFonts w:ascii="Arial" w:hAnsi="Arial" w:cs="Arial"/>
          <w:sz w:val="20"/>
          <w:szCs w:val="20"/>
          <w:lang w:val="en-US"/>
        </w:rPr>
        <w:t>progress in aligning UHC reforms with the national digital health program;</w:t>
      </w:r>
    </w:p>
    <w:p w14:paraId="4D98F257" w14:textId="77777777" w:rsidR="004C4CB6" w:rsidRPr="004C4CB6" w:rsidRDefault="004C4CB6" w:rsidP="00952AB3">
      <w:pPr>
        <w:pStyle w:val="NormalWeb"/>
        <w:numPr>
          <w:ilvl w:val="0"/>
          <w:numId w:val="29"/>
        </w:numPr>
        <w:spacing w:before="0" w:beforeAutospacing="0" w:after="0" w:afterAutospacing="0"/>
        <w:ind w:left="284" w:hanging="142"/>
        <w:jc w:val="both"/>
        <w:rPr>
          <w:rFonts w:ascii="Arial" w:hAnsi="Arial" w:cs="Arial"/>
          <w:sz w:val="20"/>
          <w:szCs w:val="20"/>
          <w:lang w:val="en-US"/>
        </w:rPr>
      </w:pPr>
      <w:r w:rsidRPr="004C4CB6">
        <w:rPr>
          <w:rFonts w:ascii="Arial" w:hAnsi="Arial" w:cs="Arial"/>
          <w:sz w:val="20"/>
          <w:szCs w:val="20"/>
          <w:lang w:val="en-US"/>
        </w:rPr>
        <w:t>achievements, challenges, and emerging risks related to digital readiness for UHC reforms;</w:t>
      </w:r>
    </w:p>
    <w:p w14:paraId="7F95D4C9" w14:textId="4417E20E" w:rsidR="004C4CB6" w:rsidRPr="004C4CB6" w:rsidRDefault="004C4CB6" w:rsidP="00952AB3">
      <w:pPr>
        <w:pStyle w:val="NormalWeb"/>
        <w:numPr>
          <w:ilvl w:val="0"/>
          <w:numId w:val="29"/>
        </w:numPr>
        <w:spacing w:before="0" w:beforeAutospacing="0" w:after="0" w:afterAutospacing="0"/>
        <w:ind w:left="284" w:hanging="142"/>
        <w:jc w:val="both"/>
        <w:rPr>
          <w:rFonts w:ascii="Arial" w:hAnsi="Arial" w:cs="Arial"/>
          <w:sz w:val="20"/>
          <w:szCs w:val="20"/>
          <w:lang w:val="en-US"/>
        </w:rPr>
      </w:pPr>
      <w:r w:rsidRPr="004C4CB6">
        <w:rPr>
          <w:rFonts w:ascii="Arial" w:hAnsi="Arial" w:cs="Arial"/>
          <w:sz w:val="20"/>
          <w:szCs w:val="20"/>
          <w:lang w:val="en-US"/>
        </w:rPr>
        <w:t xml:space="preserve">mitigation measures undertaken in coordination with the </w:t>
      </w:r>
      <w:r>
        <w:rPr>
          <w:rFonts w:ascii="Arial" w:hAnsi="Arial" w:cs="Arial"/>
          <w:sz w:val="20"/>
          <w:szCs w:val="20"/>
          <w:lang w:val="en-US"/>
        </w:rPr>
        <w:t>MoH</w:t>
      </w:r>
      <w:r w:rsidRPr="004C4CB6">
        <w:rPr>
          <w:rFonts w:ascii="Arial" w:hAnsi="Arial" w:cs="Arial"/>
          <w:sz w:val="20"/>
          <w:szCs w:val="20"/>
          <w:lang w:val="en-US"/>
        </w:rPr>
        <w:t xml:space="preserve"> and the Policy Advisor</w:t>
      </w:r>
      <w:r w:rsidR="00B041C0">
        <w:rPr>
          <w:rFonts w:ascii="Arial" w:hAnsi="Arial" w:cs="Arial"/>
          <w:sz w:val="20"/>
          <w:szCs w:val="20"/>
          <w:lang w:val="en-US"/>
        </w:rPr>
        <w:t xml:space="preserve"> on UHC</w:t>
      </w:r>
      <w:r w:rsidRPr="004C4CB6">
        <w:rPr>
          <w:rFonts w:ascii="Arial" w:hAnsi="Arial" w:cs="Arial"/>
          <w:sz w:val="20"/>
          <w:szCs w:val="20"/>
          <w:lang w:val="en-US"/>
        </w:rPr>
        <w:t>;</w:t>
      </w:r>
    </w:p>
    <w:p w14:paraId="3211136A" w14:textId="77777777" w:rsidR="004C4CB6" w:rsidRPr="004C4CB6" w:rsidRDefault="004C4CB6" w:rsidP="00952AB3">
      <w:pPr>
        <w:pStyle w:val="NormalWeb"/>
        <w:numPr>
          <w:ilvl w:val="0"/>
          <w:numId w:val="29"/>
        </w:numPr>
        <w:spacing w:before="0" w:beforeAutospacing="0" w:after="0" w:afterAutospacing="0"/>
        <w:ind w:left="284" w:hanging="142"/>
        <w:jc w:val="both"/>
        <w:rPr>
          <w:rFonts w:ascii="Arial" w:hAnsi="Arial" w:cs="Arial"/>
          <w:sz w:val="20"/>
          <w:szCs w:val="20"/>
          <w:lang w:val="en-US"/>
        </w:rPr>
      </w:pPr>
      <w:r w:rsidRPr="004C4CB6">
        <w:rPr>
          <w:rFonts w:ascii="Arial" w:hAnsi="Arial" w:cs="Arial"/>
          <w:sz w:val="20"/>
          <w:szCs w:val="20"/>
          <w:lang w:val="en-US"/>
        </w:rPr>
        <w:t>key lessons learned relevant to the implementation and sustainability of UHC reforms.</w:t>
      </w:r>
    </w:p>
    <w:p w14:paraId="54228EAA" w14:textId="096D872B" w:rsidR="004C4CB6" w:rsidRPr="004C4CB6" w:rsidRDefault="004C4CB6" w:rsidP="00952AB3">
      <w:pPr>
        <w:pStyle w:val="NormalWeb"/>
        <w:numPr>
          <w:ilvl w:val="0"/>
          <w:numId w:val="28"/>
        </w:numPr>
        <w:spacing w:before="0" w:beforeAutospacing="0" w:after="0" w:afterAutospacing="0"/>
        <w:ind w:left="284" w:hanging="284"/>
        <w:jc w:val="both"/>
        <w:rPr>
          <w:rFonts w:ascii="Arial" w:hAnsi="Arial" w:cs="Arial"/>
          <w:sz w:val="20"/>
          <w:szCs w:val="20"/>
          <w:lang w:val="en-US"/>
        </w:rPr>
      </w:pPr>
      <w:r w:rsidRPr="004C4CB6">
        <w:rPr>
          <w:rStyle w:val="Strong"/>
          <w:rFonts w:ascii="Arial" w:hAnsi="Arial" w:cs="Arial"/>
          <w:sz w:val="20"/>
          <w:szCs w:val="20"/>
          <w:lang w:val="en-US"/>
        </w:rPr>
        <w:t>A consolidated final report</w:t>
      </w:r>
      <w:r w:rsidRPr="004C4CB6">
        <w:rPr>
          <w:rFonts w:ascii="Arial" w:hAnsi="Arial" w:cs="Arial"/>
          <w:sz w:val="20"/>
          <w:szCs w:val="20"/>
          <w:lang w:val="en-US"/>
        </w:rPr>
        <w:t xml:space="preserve"> summarizing the overall advisory support provided during the assignment, including:</w:t>
      </w:r>
    </w:p>
    <w:p w14:paraId="4CC802B3" w14:textId="77777777" w:rsidR="004C4CB6" w:rsidRPr="004C4CB6" w:rsidRDefault="004C4CB6" w:rsidP="00952AB3">
      <w:pPr>
        <w:pStyle w:val="NormalWeb"/>
        <w:numPr>
          <w:ilvl w:val="0"/>
          <w:numId w:val="29"/>
        </w:numPr>
        <w:spacing w:before="0" w:beforeAutospacing="0" w:after="0" w:afterAutospacing="0"/>
        <w:ind w:left="284" w:hanging="142"/>
        <w:jc w:val="both"/>
        <w:rPr>
          <w:rFonts w:ascii="Arial" w:hAnsi="Arial" w:cs="Arial"/>
          <w:sz w:val="20"/>
          <w:szCs w:val="20"/>
          <w:lang w:val="en-US"/>
        </w:rPr>
      </w:pPr>
      <w:r w:rsidRPr="004C4CB6">
        <w:rPr>
          <w:rFonts w:ascii="Arial" w:hAnsi="Arial" w:cs="Arial"/>
          <w:sz w:val="20"/>
          <w:szCs w:val="20"/>
          <w:lang w:val="en-US"/>
        </w:rPr>
        <w:t>contributions to strengthening digital governance, interoperability, and data flows supporting UHC reforms;</w:t>
      </w:r>
    </w:p>
    <w:p w14:paraId="301C58EE" w14:textId="77777777" w:rsidR="004C4CB6" w:rsidRPr="00952AB3" w:rsidRDefault="004C4CB6" w:rsidP="00952AB3">
      <w:pPr>
        <w:pStyle w:val="NormalWeb"/>
        <w:numPr>
          <w:ilvl w:val="0"/>
          <w:numId w:val="29"/>
        </w:numPr>
        <w:spacing w:before="0" w:beforeAutospacing="0" w:after="0" w:afterAutospacing="0"/>
        <w:ind w:left="284" w:hanging="142"/>
        <w:jc w:val="both"/>
        <w:rPr>
          <w:rFonts w:ascii="Arial" w:hAnsi="Arial" w:cs="Arial"/>
          <w:spacing w:val="-4"/>
          <w:sz w:val="20"/>
          <w:szCs w:val="20"/>
          <w:lang w:val="en-US"/>
        </w:rPr>
      </w:pPr>
      <w:r w:rsidRPr="00952AB3">
        <w:rPr>
          <w:rFonts w:ascii="Arial" w:hAnsi="Arial" w:cs="Arial"/>
          <w:spacing w:val="-8"/>
          <w:sz w:val="20"/>
          <w:szCs w:val="20"/>
          <w:lang w:val="en-US"/>
        </w:rPr>
        <w:t>key achievements in enabling implementation, monitoring, and transparency of UHC-related policies</w:t>
      </w:r>
      <w:r w:rsidRPr="00952AB3">
        <w:rPr>
          <w:rFonts w:ascii="Arial" w:hAnsi="Arial" w:cs="Arial"/>
          <w:spacing w:val="-4"/>
          <w:sz w:val="20"/>
          <w:szCs w:val="20"/>
          <w:lang w:val="en-US"/>
        </w:rPr>
        <w:t>;</w:t>
      </w:r>
    </w:p>
    <w:p w14:paraId="4A8C7C60" w14:textId="77777777" w:rsidR="004C4CB6" w:rsidRPr="00952AB3" w:rsidRDefault="004C4CB6" w:rsidP="00952AB3">
      <w:pPr>
        <w:pStyle w:val="NormalWeb"/>
        <w:numPr>
          <w:ilvl w:val="0"/>
          <w:numId w:val="29"/>
        </w:numPr>
        <w:spacing w:before="0" w:beforeAutospacing="0" w:after="0" w:afterAutospacing="0"/>
        <w:ind w:left="284" w:hanging="142"/>
        <w:jc w:val="both"/>
        <w:rPr>
          <w:rFonts w:ascii="Arial" w:hAnsi="Arial" w:cs="Arial"/>
          <w:spacing w:val="-4"/>
          <w:sz w:val="20"/>
          <w:szCs w:val="20"/>
          <w:lang w:val="en-US"/>
        </w:rPr>
      </w:pPr>
      <w:r w:rsidRPr="00952AB3">
        <w:rPr>
          <w:rFonts w:ascii="Arial" w:hAnsi="Arial" w:cs="Arial"/>
          <w:spacing w:val="-4"/>
          <w:sz w:val="20"/>
          <w:szCs w:val="20"/>
          <w:lang w:val="en-US"/>
        </w:rPr>
        <w:t>lessons learned from supporting UHC implementation through digital and data enablers;</w:t>
      </w:r>
    </w:p>
    <w:p w14:paraId="0A8C4785" w14:textId="77777777" w:rsidR="004C4CB6" w:rsidRPr="00952AB3" w:rsidRDefault="004C4CB6" w:rsidP="00952AB3">
      <w:pPr>
        <w:pStyle w:val="NormalWeb"/>
        <w:numPr>
          <w:ilvl w:val="0"/>
          <w:numId w:val="29"/>
        </w:numPr>
        <w:spacing w:before="0" w:beforeAutospacing="0" w:after="0" w:afterAutospacing="0"/>
        <w:ind w:left="284" w:hanging="142"/>
        <w:jc w:val="both"/>
        <w:rPr>
          <w:rFonts w:ascii="Arial" w:hAnsi="Arial" w:cs="Arial"/>
          <w:spacing w:val="-4"/>
          <w:sz w:val="20"/>
          <w:szCs w:val="20"/>
          <w:lang w:val="en-US"/>
        </w:rPr>
      </w:pPr>
      <w:r w:rsidRPr="00952AB3">
        <w:rPr>
          <w:rFonts w:ascii="Arial" w:hAnsi="Arial" w:cs="Arial"/>
          <w:spacing w:val="-4"/>
          <w:sz w:val="20"/>
          <w:szCs w:val="20"/>
          <w:lang w:val="en-US"/>
        </w:rPr>
        <w:t>practical recommendations for sustaining and further strengthening digital support to UHC reforms beyond the consultancy period, in line with national strategies and Swiss cooperation priorities.</w:t>
      </w:r>
    </w:p>
    <w:p w14:paraId="338DCCF7" w14:textId="6348086D" w:rsidR="0077637C" w:rsidRPr="00EB5959" w:rsidRDefault="0077637C" w:rsidP="005F1584">
      <w:pPr>
        <w:pStyle w:val="Heading2"/>
        <w:keepLines w:val="0"/>
        <w:widowControl w:val="0"/>
        <w:jc w:val="both"/>
        <w:rPr>
          <w:rFonts w:ascii="Arial" w:eastAsiaTheme="minorEastAsia" w:hAnsi="Arial" w:cs="Arial"/>
          <w:color w:val="auto"/>
          <w:sz w:val="20"/>
          <w:szCs w:val="20"/>
        </w:rPr>
      </w:pPr>
      <w:r w:rsidRPr="00EB5959">
        <w:rPr>
          <w:rFonts w:ascii="Arial" w:eastAsiaTheme="minorEastAsia" w:hAnsi="Arial" w:cs="Arial"/>
          <w:color w:val="auto"/>
          <w:sz w:val="20"/>
          <w:szCs w:val="20"/>
        </w:rPr>
        <w:t xml:space="preserve">Administrative matters in line with this mandate will be managed by the SCO. The Policy </w:t>
      </w:r>
      <w:r w:rsidR="00B041C0">
        <w:rPr>
          <w:rFonts w:ascii="Arial" w:eastAsiaTheme="minorEastAsia" w:hAnsi="Arial" w:cs="Arial"/>
          <w:color w:val="auto"/>
          <w:sz w:val="20"/>
          <w:szCs w:val="20"/>
        </w:rPr>
        <w:t>A</w:t>
      </w:r>
      <w:r w:rsidRPr="00EB5959">
        <w:rPr>
          <w:rFonts w:ascii="Arial" w:eastAsiaTheme="minorEastAsia" w:hAnsi="Arial" w:cs="Arial"/>
          <w:color w:val="auto"/>
          <w:sz w:val="20"/>
          <w:szCs w:val="20"/>
        </w:rPr>
        <w:t xml:space="preserve">dvisor, working through a legal entity (individual enterprise, NGO, Ltd etc.), shall pay by her/himself the social security contributions, income tax and other relevant taxes, as stipulated by law of the Republic of Moldova. General Conditions of Business (attached) are an integral part of the contract. </w:t>
      </w:r>
    </w:p>
    <w:p w14:paraId="60708702" w14:textId="6843DA84" w:rsidR="0077637C" w:rsidRPr="00EB5959" w:rsidRDefault="0077637C" w:rsidP="005F1584">
      <w:pPr>
        <w:pStyle w:val="Heading2"/>
        <w:keepLines w:val="0"/>
        <w:widowControl w:val="0"/>
        <w:jc w:val="both"/>
        <w:rPr>
          <w:rFonts w:ascii="Arial" w:eastAsiaTheme="minorEastAsia" w:hAnsi="Arial" w:cs="Arial"/>
          <w:color w:val="auto"/>
          <w:sz w:val="20"/>
          <w:szCs w:val="20"/>
        </w:rPr>
      </w:pPr>
      <w:r w:rsidRPr="00EB5959">
        <w:rPr>
          <w:rFonts w:ascii="Arial" w:eastAsiaTheme="minorEastAsia" w:hAnsi="Arial" w:cs="Arial"/>
          <w:color w:val="auto"/>
          <w:sz w:val="20"/>
          <w:szCs w:val="20"/>
        </w:rPr>
        <w:t>The Policy advisor is seconded to the MoH. She/he will closely work directly with the responsible person within the MoH. The M</w:t>
      </w:r>
      <w:r w:rsidR="00B041C0">
        <w:rPr>
          <w:rFonts w:ascii="Arial" w:eastAsiaTheme="minorEastAsia" w:hAnsi="Arial" w:cs="Arial"/>
          <w:color w:val="auto"/>
          <w:sz w:val="20"/>
          <w:szCs w:val="20"/>
        </w:rPr>
        <w:t>oH</w:t>
      </w:r>
      <w:r w:rsidRPr="00EB5959">
        <w:rPr>
          <w:rFonts w:ascii="Arial" w:eastAsiaTheme="minorEastAsia" w:hAnsi="Arial" w:cs="Arial"/>
          <w:color w:val="auto"/>
          <w:sz w:val="20"/>
          <w:szCs w:val="20"/>
        </w:rPr>
        <w:t xml:space="preserve"> will provide the necessary office space and equipment. The </w:t>
      </w:r>
      <w:r w:rsidR="00B041C0">
        <w:rPr>
          <w:rFonts w:ascii="Arial" w:eastAsiaTheme="minorEastAsia" w:hAnsi="Arial" w:cs="Arial"/>
          <w:color w:val="auto"/>
          <w:sz w:val="20"/>
          <w:szCs w:val="20"/>
        </w:rPr>
        <w:t>Policy A</w:t>
      </w:r>
      <w:r w:rsidRPr="00EB5959">
        <w:rPr>
          <w:rFonts w:ascii="Arial" w:eastAsiaTheme="minorEastAsia" w:hAnsi="Arial" w:cs="Arial"/>
          <w:color w:val="auto"/>
          <w:sz w:val="20"/>
          <w:szCs w:val="20"/>
        </w:rPr>
        <w:t xml:space="preserve">dvisor can work from there or another location, as deemed reasonable. </w:t>
      </w:r>
    </w:p>
    <w:p w14:paraId="7D7248F6" w14:textId="1BDA962D" w:rsidR="00F31633" w:rsidRPr="00952AB3" w:rsidRDefault="00920BBC" w:rsidP="00952AB3">
      <w:pPr>
        <w:pStyle w:val="Heading2"/>
        <w:rPr>
          <w:rFonts w:ascii="Arial" w:hAnsi="Arial" w:cs="Arial"/>
          <w:b/>
          <w:bCs/>
          <w:sz w:val="20"/>
          <w:szCs w:val="20"/>
        </w:rPr>
      </w:pPr>
      <w:r w:rsidRPr="00952AB3">
        <w:rPr>
          <w:rFonts w:ascii="Arial" w:hAnsi="Arial" w:cs="Arial"/>
          <w:b/>
          <w:bCs/>
          <w:sz w:val="20"/>
          <w:szCs w:val="20"/>
        </w:rPr>
        <w:t>Confidentiality and Code of Conduct</w:t>
      </w:r>
    </w:p>
    <w:p w14:paraId="24660366" w14:textId="67901333" w:rsidR="00F31633" w:rsidRPr="00EB5959" w:rsidRDefault="003A0F9E" w:rsidP="00952AB3">
      <w:pPr>
        <w:keepLines/>
        <w:widowControl w:val="0"/>
        <w:jc w:val="both"/>
        <w:rPr>
          <w:rFonts w:ascii="Arial" w:hAnsi="Arial" w:cs="Arial"/>
          <w:sz w:val="20"/>
          <w:szCs w:val="20"/>
        </w:rPr>
      </w:pPr>
      <w:r w:rsidRPr="00EB5959">
        <w:rPr>
          <w:rFonts w:ascii="Arial" w:hAnsi="Arial" w:cs="Arial"/>
          <w:sz w:val="20"/>
          <w:szCs w:val="20"/>
        </w:rPr>
        <w:t>The Policy Advisor will adhere to the Code of Conduct of the Swiss Agency for Development and Cooperation and confidentiality agreements, respecting the sensitive nature of health policy reforms. All reports and data produced during the assignment will be owned by the M</w:t>
      </w:r>
      <w:r w:rsidR="00B041C0">
        <w:rPr>
          <w:rFonts w:ascii="Arial" w:hAnsi="Arial" w:cs="Arial"/>
          <w:sz w:val="20"/>
          <w:szCs w:val="20"/>
        </w:rPr>
        <w:t>oH</w:t>
      </w:r>
      <w:r w:rsidRPr="00EB5959">
        <w:rPr>
          <w:rFonts w:ascii="Arial" w:hAnsi="Arial" w:cs="Arial"/>
          <w:sz w:val="20"/>
          <w:szCs w:val="20"/>
        </w:rPr>
        <w:t xml:space="preserve"> and </w:t>
      </w:r>
      <w:r w:rsidR="00952AB3">
        <w:rPr>
          <w:rFonts w:ascii="Arial" w:hAnsi="Arial" w:cs="Arial"/>
          <w:sz w:val="20"/>
          <w:szCs w:val="20"/>
        </w:rPr>
        <w:t>t t</w:t>
      </w:r>
      <w:r w:rsidRPr="00EB5959">
        <w:rPr>
          <w:rFonts w:ascii="Arial" w:hAnsi="Arial" w:cs="Arial"/>
          <w:sz w:val="20"/>
          <w:szCs w:val="20"/>
        </w:rPr>
        <w:t>he</w:t>
      </w:r>
      <w:r w:rsidR="00952AB3">
        <w:rPr>
          <w:rFonts w:ascii="Arial" w:hAnsi="Arial" w:cs="Arial"/>
          <w:sz w:val="20"/>
          <w:szCs w:val="20"/>
        </w:rPr>
        <w:t xml:space="preserve"> </w:t>
      </w:r>
      <w:r w:rsidRPr="00EB5959">
        <w:rPr>
          <w:rFonts w:ascii="Arial" w:hAnsi="Arial" w:cs="Arial"/>
          <w:sz w:val="20"/>
          <w:szCs w:val="20"/>
        </w:rPr>
        <w:t>SCO and handled in compliance with relevant confidentiality protocols.</w:t>
      </w:r>
    </w:p>
    <w:p w14:paraId="063E3825" w14:textId="77777777" w:rsidR="003A0F9E" w:rsidRPr="00EB5959" w:rsidRDefault="003A0F9E" w:rsidP="00952AB3">
      <w:pPr>
        <w:keepLines/>
        <w:widowControl w:val="0"/>
        <w:jc w:val="both"/>
        <w:rPr>
          <w:rFonts w:ascii="Arial" w:hAnsi="Arial" w:cs="Arial"/>
          <w:sz w:val="20"/>
          <w:szCs w:val="20"/>
          <w:lang w:val="en-GB"/>
        </w:rPr>
      </w:pPr>
    </w:p>
    <w:p w14:paraId="5B5079CA" w14:textId="1E7716EE" w:rsidR="003A0F9E" w:rsidRPr="00EB5959" w:rsidRDefault="003A0F9E" w:rsidP="00952AB3">
      <w:pPr>
        <w:keepLines/>
        <w:widowControl w:val="0"/>
        <w:jc w:val="both"/>
        <w:rPr>
          <w:rFonts w:ascii="Arial" w:hAnsi="Arial" w:cs="Arial"/>
          <w:sz w:val="20"/>
          <w:szCs w:val="20"/>
          <w:lang w:val="en-GB"/>
        </w:rPr>
      </w:pPr>
      <w:r w:rsidRPr="00EB5959">
        <w:rPr>
          <w:rFonts w:ascii="Arial" w:hAnsi="Arial" w:cs="Arial"/>
          <w:sz w:val="20"/>
          <w:szCs w:val="20"/>
          <w:lang w:val="en-GB"/>
        </w:rPr>
        <w:t xml:space="preserve">Date: </w:t>
      </w:r>
      <w:r w:rsidR="00432E8E">
        <w:rPr>
          <w:rFonts w:ascii="Arial" w:hAnsi="Arial" w:cs="Arial"/>
          <w:sz w:val="20"/>
          <w:szCs w:val="20"/>
          <w:lang w:val="en-GB"/>
        </w:rPr>
        <w:t xml:space="preserve">17 </w:t>
      </w:r>
      <w:r w:rsidRPr="00EB5959">
        <w:rPr>
          <w:rFonts w:ascii="Arial" w:hAnsi="Arial" w:cs="Arial"/>
          <w:sz w:val="20"/>
          <w:szCs w:val="20"/>
          <w:lang w:val="en-GB"/>
        </w:rPr>
        <w:t xml:space="preserve">December 2025 </w:t>
      </w:r>
    </w:p>
    <w:p w14:paraId="288C3355" w14:textId="4AA6FA18" w:rsidR="003A0F9E" w:rsidRPr="00EB5959" w:rsidRDefault="003A0F9E" w:rsidP="00952AB3">
      <w:pPr>
        <w:keepLines/>
        <w:widowControl w:val="0"/>
        <w:jc w:val="both"/>
        <w:rPr>
          <w:rFonts w:ascii="Arial" w:hAnsi="Arial" w:cs="Arial"/>
          <w:sz w:val="20"/>
          <w:szCs w:val="20"/>
        </w:rPr>
      </w:pPr>
    </w:p>
    <w:sectPr w:rsidR="003A0F9E" w:rsidRPr="00EB5959"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504EA" w14:textId="77777777" w:rsidR="006453E0" w:rsidRDefault="006453E0" w:rsidP="00882EF1">
      <w:pPr>
        <w:spacing w:after="0" w:line="240" w:lineRule="auto"/>
      </w:pPr>
      <w:r>
        <w:separator/>
      </w:r>
    </w:p>
  </w:endnote>
  <w:endnote w:type="continuationSeparator" w:id="0">
    <w:p w14:paraId="436AC1C4" w14:textId="77777777" w:rsidR="006453E0" w:rsidRDefault="006453E0" w:rsidP="00882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676C3" w14:textId="77777777" w:rsidR="006453E0" w:rsidRDefault="006453E0" w:rsidP="00882EF1">
      <w:pPr>
        <w:spacing w:after="0" w:line="240" w:lineRule="auto"/>
      </w:pPr>
      <w:r>
        <w:separator/>
      </w:r>
    </w:p>
  </w:footnote>
  <w:footnote w:type="continuationSeparator" w:id="0">
    <w:p w14:paraId="425EEEAD" w14:textId="77777777" w:rsidR="006453E0" w:rsidRDefault="006453E0" w:rsidP="00882EF1">
      <w:pPr>
        <w:spacing w:after="0" w:line="240" w:lineRule="auto"/>
      </w:pPr>
      <w:r>
        <w:continuationSeparator/>
      </w:r>
    </w:p>
  </w:footnote>
  <w:footnote w:id="1">
    <w:p w14:paraId="717A5203" w14:textId="63BCA8DD" w:rsidR="00882EF1" w:rsidRDefault="00882EF1" w:rsidP="00882EF1">
      <w:pPr>
        <w:pStyle w:val="FootnoteText"/>
      </w:pPr>
      <w:r>
        <w:rPr>
          <w:rStyle w:val="FootnoteReference"/>
        </w:rPr>
        <w:footnoteRef/>
      </w:r>
      <w:r>
        <w:t xml:space="preserve"> The number of fwd is not fixed per sub-task and may change depending on the tasks at hand but is indicative of where the focus should be.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68B33D2"/>
    <w:multiLevelType w:val="hybridMultilevel"/>
    <w:tmpl w:val="941A333E"/>
    <w:lvl w:ilvl="0" w:tplc="08070001">
      <w:start w:val="1"/>
      <w:numFmt w:val="bullet"/>
      <w:lvlText w:val=""/>
      <w:lvlJc w:val="left"/>
      <w:pPr>
        <w:ind w:left="1309" w:hanging="360"/>
      </w:pPr>
      <w:rPr>
        <w:rFonts w:ascii="Symbol" w:hAnsi="Symbol" w:hint="default"/>
      </w:rPr>
    </w:lvl>
    <w:lvl w:ilvl="1" w:tplc="08070003" w:tentative="1">
      <w:start w:val="1"/>
      <w:numFmt w:val="bullet"/>
      <w:lvlText w:val="o"/>
      <w:lvlJc w:val="left"/>
      <w:pPr>
        <w:ind w:left="2029" w:hanging="360"/>
      </w:pPr>
      <w:rPr>
        <w:rFonts w:ascii="Courier New" w:hAnsi="Courier New" w:cs="Courier New" w:hint="default"/>
      </w:rPr>
    </w:lvl>
    <w:lvl w:ilvl="2" w:tplc="08070005" w:tentative="1">
      <w:start w:val="1"/>
      <w:numFmt w:val="bullet"/>
      <w:lvlText w:val=""/>
      <w:lvlJc w:val="left"/>
      <w:pPr>
        <w:ind w:left="2749" w:hanging="360"/>
      </w:pPr>
      <w:rPr>
        <w:rFonts w:ascii="Wingdings" w:hAnsi="Wingdings" w:hint="default"/>
      </w:rPr>
    </w:lvl>
    <w:lvl w:ilvl="3" w:tplc="08070001" w:tentative="1">
      <w:start w:val="1"/>
      <w:numFmt w:val="bullet"/>
      <w:lvlText w:val=""/>
      <w:lvlJc w:val="left"/>
      <w:pPr>
        <w:ind w:left="3469" w:hanging="360"/>
      </w:pPr>
      <w:rPr>
        <w:rFonts w:ascii="Symbol" w:hAnsi="Symbol" w:hint="default"/>
      </w:rPr>
    </w:lvl>
    <w:lvl w:ilvl="4" w:tplc="08070003" w:tentative="1">
      <w:start w:val="1"/>
      <w:numFmt w:val="bullet"/>
      <w:lvlText w:val="o"/>
      <w:lvlJc w:val="left"/>
      <w:pPr>
        <w:ind w:left="4189" w:hanging="360"/>
      </w:pPr>
      <w:rPr>
        <w:rFonts w:ascii="Courier New" w:hAnsi="Courier New" w:cs="Courier New" w:hint="default"/>
      </w:rPr>
    </w:lvl>
    <w:lvl w:ilvl="5" w:tplc="08070005" w:tentative="1">
      <w:start w:val="1"/>
      <w:numFmt w:val="bullet"/>
      <w:lvlText w:val=""/>
      <w:lvlJc w:val="left"/>
      <w:pPr>
        <w:ind w:left="4909" w:hanging="360"/>
      </w:pPr>
      <w:rPr>
        <w:rFonts w:ascii="Wingdings" w:hAnsi="Wingdings" w:hint="default"/>
      </w:rPr>
    </w:lvl>
    <w:lvl w:ilvl="6" w:tplc="08070001" w:tentative="1">
      <w:start w:val="1"/>
      <w:numFmt w:val="bullet"/>
      <w:lvlText w:val=""/>
      <w:lvlJc w:val="left"/>
      <w:pPr>
        <w:ind w:left="5629" w:hanging="360"/>
      </w:pPr>
      <w:rPr>
        <w:rFonts w:ascii="Symbol" w:hAnsi="Symbol" w:hint="default"/>
      </w:rPr>
    </w:lvl>
    <w:lvl w:ilvl="7" w:tplc="08070003" w:tentative="1">
      <w:start w:val="1"/>
      <w:numFmt w:val="bullet"/>
      <w:lvlText w:val="o"/>
      <w:lvlJc w:val="left"/>
      <w:pPr>
        <w:ind w:left="6349" w:hanging="360"/>
      </w:pPr>
      <w:rPr>
        <w:rFonts w:ascii="Courier New" w:hAnsi="Courier New" w:cs="Courier New" w:hint="default"/>
      </w:rPr>
    </w:lvl>
    <w:lvl w:ilvl="8" w:tplc="08070005" w:tentative="1">
      <w:start w:val="1"/>
      <w:numFmt w:val="bullet"/>
      <w:lvlText w:val=""/>
      <w:lvlJc w:val="left"/>
      <w:pPr>
        <w:ind w:left="7069" w:hanging="360"/>
      </w:pPr>
      <w:rPr>
        <w:rFonts w:ascii="Wingdings" w:hAnsi="Wingdings" w:hint="default"/>
      </w:rPr>
    </w:lvl>
  </w:abstractNum>
  <w:abstractNum w:abstractNumId="10" w15:restartNumberingAfterBreak="0">
    <w:nsid w:val="13F37B1B"/>
    <w:multiLevelType w:val="multilevel"/>
    <w:tmpl w:val="152A3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1FFC348D"/>
    <w:multiLevelType w:val="hybridMultilevel"/>
    <w:tmpl w:val="7C240F50"/>
    <w:lvl w:ilvl="0" w:tplc="B54CA60A">
      <w:numFmt w:val="bullet"/>
      <w:lvlText w:val="•"/>
      <w:lvlJc w:val="left"/>
      <w:pPr>
        <w:ind w:left="720" w:hanging="360"/>
      </w:pPr>
      <w:rPr>
        <w:rFonts w:ascii="Cambria" w:eastAsiaTheme="minorEastAsia" w:hAnsi="Cambria"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2AEF5677"/>
    <w:multiLevelType w:val="hybridMultilevel"/>
    <w:tmpl w:val="3E70D530"/>
    <w:lvl w:ilvl="0" w:tplc="C4CA2698">
      <w:start w:val="1"/>
      <w:numFmt w:val="upp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402209AD"/>
    <w:multiLevelType w:val="hybridMultilevel"/>
    <w:tmpl w:val="A2089D0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5C7534F9"/>
    <w:multiLevelType w:val="hybridMultilevel"/>
    <w:tmpl w:val="E2CE7444"/>
    <w:lvl w:ilvl="0" w:tplc="08070001">
      <w:start w:val="1"/>
      <w:numFmt w:val="bullet"/>
      <w:lvlText w:val=""/>
      <w:lvlJc w:val="left"/>
      <w:pPr>
        <w:ind w:left="1080" w:hanging="360"/>
      </w:pPr>
      <w:rPr>
        <w:rFonts w:ascii="Symbol" w:hAnsi="Symbo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16" w15:restartNumberingAfterBreak="0">
    <w:nsid w:val="5F6F7717"/>
    <w:multiLevelType w:val="multilevel"/>
    <w:tmpl w:val="DAB87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6B438C"/>
    <w:multiLevelType w:val="multilevel"/>
    <w:tmpl w:val="3314E2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4069BC"/>
    <w:multiLevelType w:val="hybridMultilevel"/>
    <w:tmpl w:val="8E06200A"/>
    <w:lvl w:ilvl="0" w:tplc="08070001">
      <w:start w:val="1"/>
      <w:numFmt w:val="bullet"/>
      <w:lvlText w:val=""/>
      <w:lvlJc w:val="left"/>
      <w:pPr>
        <w:ind w:left="1037" w:hanging="360"/>
      </w:pPr>
      <w:rPr>
        <w:rFonts w:ascii="Symbol" w:hAnsi="Symbol" w:hint="default"/>
      </w:rPr>
    </w:lvl>
    <w:lvl w:ilvl="1" w:tplc="08070003" w:tentative="1">
      <w:start w:val="1"/>
      <w:numFmt w:val="bullet"/>
      <w:lvlText w:val="o"/>
      <w:lvlJc w:val="left"/>
      <w:pPr>
        <w:ind w:left="1757" w:hanging="360"/>
      </w:pPr>
      <w:rPr>
        <w:rFonts w:ascii="Courier New" w:hAnsi="Courier New" w:cs="Courier New" w:hint="default"/>
      </w:rPr>
    </w:lvl>
    <w:lvl w:ilvl="2" w:tplc="08070005" w:tentative="1">
      <w:start w:val="1"/>
      <w:numFmt w:val="bullet"/>
      <w:lvlText w:val=""/>
      <w:lvlJc w:val="left"/>
      <w:pPr>
        <w:ind w:left="2477" w:hanging="360"/>
      </w:pPr>
      <w:rPr>
        <w:rFonts w:ascii="Wingdings" w:hAnsi="Wingdings" w:hint="default"/>
      </w:rPr>
    </w:lvl>
    <w:lvl w:ilvl="3" w:tplc="08070001" w:tentative="1">
      <w:start w:val="1"/>
      <w:numFmt w:val="bullet"/>
      <w:lvlText w:val=""/>
      <w:lvlJc w:val="left"/>
      <w:pPr>
        <w:ind w:left="3197" w:hanging="360"/>
      </w:pPr>
      <w:rPr>
        <w:rFonts w:ascii="Symbol" w:hAnsi="Symbol" w:hint="default"/>
      </w:rPr>
    </w:lvl>
    <w:lvl w:ilvl="4" w:tplc="08070003" w:tentative="1">
      <w:start w:val="1"/>
      <w:numFmt w:val="bullet"/>
      <w:lvlText w:val="o"/>
      <w:lvlJc w:val="left"/>
      <w:pPr>
        <w:ind w:left="3917" w:hanging="360"/>
      </w:pPr>
      <w:rPr>
        <w:rFonts w:ascii="Courier New" w:hAnsi="Courier New" w:cs="Courier New" w:hint="default"/>
      </w:rPr>
    </w:lvl>
    <w:lvl w:ilvl="5" w:tplc="08070005" w:tentative="1">
      <w:start w:val="1"/>
      <w:numFmt w:val="bullet"/>
      <w:lvlText w:val=""/>
      <w:lvlJc w:val="left"/>
      <w:pPr>
        <w:ind w:left="4637" w:hanging="360"/>
      </w:pPr>
      <w:rPr>
        <w:rFonts w:ascii="Wingdings" w:hAnsi="Wingdings" w:hint="default"/>
      </w:rPr>
    </w:lvl>
    <w:lvl w:ilvl="6" w:tplc="08070001" w:tentative="1">
      <w:start w:val="1"/>
      <w:numFmt w:val="bullet"/>
      <w:lvlText w:val=""/>
      <w:lvlJc w:val="left"/>
      <w:pPr>
        <w:ind w:left="5357" w:hanging="360"/>
      </w:pPr>
      <w:rPr>
        <w:rFonts w:ascii="Symbol" w:hAnsi="Symbol" w:hint="default"/>
      </w:rPr>
    </w:lvl>
    <w:lvl w:ilvl="7" w:tplc="08070003" w:tentative="1">
      <w:start w:val="1"/>
      <w:numFmt w:val="bullet"/>
      <w:lvlText w:val="o"/>
      <w:lvlJc w:val="left"/>
      <w:pPr>
        <w:ind w:left="6077" w:hanging="360"/>
      </w:pPr>
      <w:rPr>
        <w:rFonts w:ascii="Courier New" w:hAnsi="Courier New" w:cs="Courier New" w:hint="default"/>
      </w:rPr>
    </w:lvl>
    <w:lvl w:ilvl="8" w:tplc="08070005" w:tentative="1">
      <w:start w:val="1"/>
      <w:numFmt w:val="bullet"/>
      <w:lvlText w:val=""/>
      <w:lvlJc w:val="left"/>
      <w:pPr>
        <w:ind w:left="6797" w:hanging="360"/>
      </w:pPr>
      <w:rPr>
        <w:rFonts w:ascii="Wingdings" w:hAnsi="Wingdings" w:hint="default"/>
      </w:rPr>
    </w:lvl>
  </w:abstractNum>
  <w:abstractNum w:abstractNumId="19" w15:restartNumberingAfterBreak="0">
    <w:nsid w:val="7948079A"/>
    <w:multiLevelType w:val="hybridMultilevel"/>
    <w:tmpl w:val="A18261E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399334095">
    <w:abstractNumId w:val="8"/>
  </w:num>
  <w:num w:numId="2" w16cid:durableId="1826703139">
    <w:abstractNumId w:val="6"/>
  </w:num>
  <w:num w:numId="3" w16cid:durableId="979308211">
    <w:abstractNumId w:val="5"/>
  </w:num>
  <w:num w:numId="4" w16cid:durableId="939414422">
    <w:abstractNumId w:val="4"/>
  </w:num>
  <w:num w:numId="5" w16cid:durableId="1090198991">
    <w:abstractNumId w:val="7"/>
  </w:num>
  <w:num w:numId="6" w16cid:durableId="2003652940">
    <w:abstractNumId w:val="3"/>
  </w:num>
  <w:num w:numId="7" w16cid:durableId="921767261">
    <w:abstractNumId w:val="2"/>
  </w:num>
  <w:num w:numId="8" w16cid:durableId="404112769">
    <w:abstractNumId w:val="1"/>
  </w:num>
  <w:num w:numId="9" w16cid:durableId="435255793">
    <w:abstractNumId w:val="0"/>
  </w:num>
  <w:num w:numId="10" w16cid:durableId="1594318562">
    <w:abstractNumId w:val="14"/>
  </w:num>
  <w:num w:numId="11" w16cid:durableId="1626082277">
    <w:abstractNumId w:val="19"/>
  </w:num>
  <w:num w:numId="12" w16cid:durableId="264466121">
    <w:abstractNumId w:val="12"/>
  </w:num>
  <w:num w:numId="13" w16cid:durableId="564992166">
    <w:abstractNumId w:val="11"/>
  </w:num>
  <w:num w:numId="14" w16cid:durableId="1013454750">
    <w:abstractNumId w:val="11"/>
  </w:num>
  <w:num w:numId="15" w16cid:durableId="933562065">
    <w:abstractNumId w:val="11"/>
  </w:num>
  <w:num w:numId="16" w16cid:durableId="935552472">
    <w:abstractNumId w:val="11"/>
  </w:num>
  <w:num w:numId="17" w16cid:durableId="1659728574">
    <w:abstractNumId w:val="11"/>
  </w:num>
  <w:num w:numId="18" w16cid:durableId="707294629">
    <w:abstractNumId w:val="11"/>
  </w:num>
  <w:num w:numId="19" w16cid:durableId="475101238">
    <w:abstractNumId w:val="11"/>
  </w:num>
  <w:num w:numId="20" w16cid:durableId="2073962940">
    <w:abstractNumId w:val="11"/>
  </w:num>
  <w:num w:numId="21" w16cid:durableId="1406028566">
    <w:abstractNumId w:val="11"/>
  </w:num>
  <w:num w:numId="22" w16cid:durableId="1240289798">
    <w:abstractNumId w:val="11"/>
  </w:num>
  <w:num w:numId="23" w16cid:durableId="1004285730">
    <w:abstractNumId w:val="18"/>
  </w:num>
  <w:num w:numId="24" w16cid:durableId="1316104197">
    <w:abstractNumId w:val="17"/>
  </w:num>
  <w:num w:numId="25" w16cid:durableId="803931069">
    <w:abstractNumId w:val="9"/>
  </w:num>
  <w:num w:numId="26" w16cid:durableId="2021424638">
    <w:abstractNumId w:val="10"/>
  </w:num>
  <w:num w:numId="27" w16cid:durableId="222104358">
    <w:abstractNumId w:val="16"/>
  </w:num>
  <w:num w:numId="28" w16cid:durableId="2086343147">
    <w:abstractNumId w:val="13"/>
  </w:num>
  <w:num w:numId="29" w16cid:durableId="146920265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C149B"/>
    <w:rsid w:val="000E621F"/>
    <w:rsid w:val="00120940"/>
    <w:rsid w:val="0015074B"/>
    <w:rsid w:val="002467E9"/>
    <w:rsid w:val="002710A1"/>
    <w:rsid w:val="0029639D"/>
    <w:rsid w:val="00326F90"/>
    <w:rsid w:val="003A0F9E"/>
    <w:rsid w:val="00400831"/>
    <w:rsid w:val="00432E8E"/>
    <w:rsid w:val="00471DDF"/>
    <w:rsid w:val="004A69C2"/>
    <w:rsid w:val="004C4CB6"/>
    <w:rsid w:val="005127F1"/>
    <w:rsid w:val="00515CDF"/>
    <w:rsid w:val="005A0C15"/>
    <w:rsid w:val="005A5D4A"/>
    <w:rsid w:val="005B38A4"/>
    <w:rsid w:val="005F1584"/>
    <w:rsid w:val="006453E0"/>
    <w:rsid w:val="006709AB"/>
    <w:rsid w:val="006C315E"/>
    <w:rsid w:val="0070566C"/>
    <w:rsid w:val="0077637C"/>
    <w:rsid w:val="00780D9E"/>
    <w:rsid w:val="007A7155"/>
    <w:rsid w:val="007D299D"/>
    <w:rsid w:val="007D51F8"/>
    <w:rsid w:val="00815A26"/>
    <w:rsid w:val="00816AA5"/>
    <w:rsid w:val="00837A61"/>
    <w:rsid w:val="008709B3"/>
    <w:rsid w:val="00882EF1"/>
    <w:rsid w:val="00893E51"/>
    <w:rsid w:val="008C5871"/>
    <w:rsid w:val="00920BBC"/>
    <w:rsid w:val="009368A0"/>
    <w:rsid w:val="00946260"/>
    <w:rsid w:val="00952AB3"/>
    <w:rsid w:val="00986D0F"/>
    <w:rsid w:val="009B6DA2"/>
    <w:rsid w:val="00A31F33"/>
    <w:rsid w:val="00AA1D8D"/>
    <w:rsid w:val="00AD71DD"/>
    <w:rsid w:val="00B02735"/>
    <w:rsid w:val="00B041C0"/>
    <w:rsid w:val="00B1337A"/>
    <w:rsid w:val="00B47730"/>
    <w:rsid w:val="00B7306F"/>
    <w:rsid w:val="00BA0D73"/>
    <w:rsid w:val="00BB064D"/>
    <w:rsid w:val="00BC4384"/>
    <w:rsid w:val="00BF61CC"/>
    <w:rsid w:val="00C62706"/>
    <w:rsid w:val="00CA08F0"/>
    <w:rsid w:val="00CB0664"/>
    <w:rsid w:val="00CF557C"/>
    <w:rsid w:val="00D07C03"/>
    <w:rsid w:val="00DB0D9A"/>
    <w:rsid w:val="00E07DA9"/>
    <w:rsid w:val="00E24F8B"/>
    <w:rsid w:val="00E2520C"/>
    <w:rsid w:val="00EB5959"/>
    <w:rsid w:val="00F2367D"/>
    <w:rsid w:val="00F31633"/>
    <w:rsid w:val="00F865C3"/>
    <w:rsid w:val="00FB7AE8"/>
    <w:rsid w:val="00FC5AE2"/>
    <w:rsid w:val="00FC693F"/>
    <w:rsid w:val="00FE0E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C32581"/>
  <w14:defaultImageDpi w14:val="300"/>
  <w15:docId w15:val="{2F9B200E-3E41-4761-BD19-390718C91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37A"/>
  </w:style>
  <w:style w:type="paragraph" w:styleId="Heading1">
    <w:name w:val="heading 1"/>
    <w:basedOn w:val="Normal"/>
    <w:next w:val="Normal"/>
    <w:link w:val="Heading1Char"/>
    <w:uiPriority w:val="9"/>
    <w:qFormat/>
    <w:rsid w:val="00B1337A"/>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Heading2">
    <w:name w:val="heading 2"/>
    <w:basedOn w:val="Normal"/>
    <w:next w:val="Normal"/>
    <w:link w:val="Heading2Char"/>
    <w:uiPriority w:val="9"/>
    <w:unhideWhenUsed/>
    <w:qFormat/>
    <w:rsid w:val="00B1337A"/>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unhideWhenUsed/>
    <w:qFormat/>
    <w:rsid w:val="00B1337A"/>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1337A"/>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1337A"/>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1337A"/>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1337A"/>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1337A"/>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1337A"/>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B1337A"/>
    <w:pPr>
      <w:spacing w:after="0" w:line="240" w:lineRule="auto"/>
    </w:pPr>
  </w:style>
  <w:style w:type="character" w:customStyle="1" w:styleId="Heading1Char">
    <w:name w:val="Heading 1 Char"/>
    <w:basedOn w:val="DefaultParagraphFont"/>
    <w:link w:val="Heading1"/>
    <w:uiPriority w:val="9"/>
    <w:rsid w:val="00B1337A"/>
    <w:rPr>
      <w:rFonts w:asciiTheme="majorHAnsi" w:eastAsiaTheme="majorEastAsia" w:hAnsiTheme="majorHAnsi" w:cstheme="majorBidi"/>
      <w:color w:val="365F91" w:themeColor="accent1" w:themeShade="BF"/>
      <w:sz w:val="36"/>
      <w:szCs w:val="36"/>
    </w:rPr>
  </w:style>
  <w:style w:type="character" w:customStyle="1" w:styleId="Heading2Char">
    <w:name w:val="Heading 2 Char"/>
    <w:basedOn w:val="DefaultParagraphFont"/>
    <w:link w:val="Heading2"/>
    <w:uiPriority w:val="9"/>
    <w:rsid w:val="00B1337A"/>
    <w:rPr>
      <w:rFonts w:asciiTheme="majorHAnsi" w:eastAsiaTheme="majorEastAsia" w:hAnsiTheme="majorHAnsi" w:cstheme="majorBidi"/>
      <w:color w:val="365F91" w:themeColor="accent1" w:themeShade="BF"/>
      <w:sz w:val="28"/>
      <w:szCs w:val="28"/>
    </w:rPr>
  </w:style>
  <w:style w:type="character" w:customStyle="1" w:styleId="Heading3Char">
    <w:name w:val="Heading 3 Char"/>
    <w:basedOn w:val="DefaultParagraphFont"/>
    <w:link w:val="Heading3"/>
    <w:uiPriority w:val="9"/>
    <w:rsid w:val="00B1337A"/>
    <w:rPr>
      <w:rFonts w:asciiTheme="majorHAnsi" w:eastAsiaTheme="majorEastAsia" w:hAnsiTheme="majorHAnsi" w:cstheme="majorBidi"/>
      <w:color w:val="404040" w:themeColor="text1" w:themeTint="BF"/>
      <w:sz w:val="26"/>
      <w:szCs w:val="26"/>
    </w:rPr>
  </w:style>
  <w:style w:type="paragraph" w:styleId="Title">
    <w:name w:val="Title"/>
    <w:basedOn w:val="Normal"/>
    <w:next w:val="Normal"/>
    <w:link w:val="TitleChar"/>
    <w:uiPriority w:val="10"/>
    <w:qFormat/>
    <w:rsid w:val="00B1337A"/>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B1337A"/>
    <w:rPr>
      <w:rFonts w:asciiTheme="majorHAnsi" w:eastAsiaTheme="majorEastAsia" w:hAnsiTheme="majorHAnsi" w:cstheme="majorBidi"/>
      <w:color w:val="365F91" w:themeColor="accent1" w:themeShade="BF"/>
      <w:spacing w:val="-7"/>
      <w:sz w:val="80"/>
      <w:szCs w:val="80"/>
    </w:rPr>
  </w:style>
  <w:style w:type="paragraph" w:styleId="Subtitle">
    <w:name w:val="Subtitle"/>
    <w:basedOn w:val="Normal"/>
    <w:next w:val="Normal"/>
    <w:link w:val="SubtitleChar"/>
    <w:uiPriority w:val="11"/>
    <w:qFormat/>
    <w:rsid w:val="00B1337A"/>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1337A"/>
    <w:rPr>
      <w:rFonts w:asciiTheme="majorHAnsi" w:eastAsiaTheme="majorEastAsia" w:hAnsiTheme="majorHAnsi" w:cstheme="majorBidi"/>
      <w:color w:val="404040" w:themeColor="text1" w:themeTint="BF"/>
      <w:sz w:val="30"/>
      <w:szCs w:val="30"/>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B1337A"/>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1337A"/>
    <w:rPr>
      <w:i/>
      <w:iCs/>
    </w:rPr>
  </w:style>
  <w:style w:type="character" w:customStyle="1" w:styleId="Heading4Char">
    <w:name w:val="Heading 4 Char"/>
    <w:basedOn w:val="DefaultParagraphFont"/>
    <w:link w:val="Heading4"/>
    <w:uiPriority w:val="9"/>
    <w:semiHidden/>
    <w:rsid w:val="00B1337A"/>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1337A"/>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1337A"/>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1337A"/>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1337A"/>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1337A"/>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1337A"/>
    <w:pPr>
      <w:spacing w:line="240" w:lineRule="auto"/>
    </w:pPr>
    <w:rPr>
      <w:b/>
      <w:bCs/>
      <w:color w:val="404040" w:themeColor="text1" w:themeTint="BF"/>
      <w:sz w:val="20"/>
      <w:szCs w:val="20"/>
    </w:rPr>
  </w:style>
  <w:style w:type="character" w:styleId="Strong">
    <w:name w:val="Strong"/>
    <w:basedOn w:val="DefaultParagraphFont"/>
    <w:uiPriority w:val="22"/>
    <w:qFormat/>
    <w:rsid w:val="00B1337A"/>
    <w:rPr>
      <w:b/>
      <w:bCs/>
    </w:rPr>
  </w:style>
  <w:style w:type="character" w:styleId="Emphasis">
    <w:name w:val="Emphasis"/>
    <w:basedOn w:val="DefaultParagraphFont"/>
    <w:uiPriority w:val="20"/>
    <w:qFormat/>
    <w:rsid w:val="00B1337A"/>
    <w:rPr>
      <w:i/>
      <w:iCs/>
    </w:rPr>
  </w:style>
  <w:style w:type="paragraph" w:styleId="IntenseQuote">
    <w:name w:val="Intense Quote"/>
    <w:basedOn w:val="Normal"/>
    <w:next w:val="Normal"/>
    <w:link w:val="IntenseQuoteChar"/>
    <w:uiPriority w:val="30"/>
    <w:qFormat/>
    <w:rsid w:val="00B1337A"/>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B1337A"/>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B1337A"/>
    <w:rPr>
      <w:i/>
      <w:iCs/>
      <w:color w:val="595959" w:themeColor="text1" w:themeTint="A6"/>
    </w:rPr>
  </w:style>
  <w:style w:type="character" w:styleId="IntenseEmphasis">
    <w:name w:val="Intense Emphasis"/>
    <w:basedOn w:val="DefaultParagraphFont"/>
    <w:uiPriority w:val="21"/>
    <w:qFormat/>
    <w:rsid w:val="00B1337A"/>
    <w:rPr>
      <w:b/>
      <w:bCs/>
      <w:i/>
      <w:iCs/>
    </w:rPr>
  </w:style>
  <w:style w:type="character" w:styleId="SubtleReference">
    <w:name w:val="Subtle Reference"/>
    <w:basedOn w:val="DefaultParagraphFont"/>
    <w:uiPriority w:val="31"/>
    <w:qFormat/>
    <w:rsid w:val="00B1337A"/>
    <w:rPr>
      <w:smallCaps/>
      <w:color w:val="404040" w:themeColor="text1" w:themeTint="BF"/>
    </w:rPr>
  </w:style>
  <w:style w:type="character" w:styleId="IntenseReference">
    <w:name w:val="Intense Reference"/>
    <w:basedOn w:val="DefaultParagraphFont"/>
    <w:uiPriority w:val="32"/>
    <w:qFormat/>
    <w:rsid w:val="00B1337A"/>
    <w:rPr>
      <w:b/>
      <w:bCs/>
      <w:smallCaps/>
      <w:u w:val="single"/>
    </w:rPr>
  </w:style>
  <w:style w:type="character" w:styleId="BookTitle">
    <w:name w:val="Book Title"/>
    <w:basedOn w:val="DefaultParagraphFont"/>
    <w:uiPriority w:val="33"/>
    <w:qFormat/>
    <w:rsid w:val="00B1337A"/>
    <w:rPr>
      <w:b/>
      <w:bCs/>
      <w:smallCaps/>
    </w:rPr>
  </w:style>
  <w:style w:type="paragraph" w:styleId="TOCHeading">
    <w:name w:val="TOC Heading"/>
    <w:basedOn w:val="Heading1"/>
    <w:next w:val="Normal"/>
    <w:uiPriority w:val="39"/>
    <w:semiHidden/>
    <w:unhideWhenUsed/>
    <w:qFormat/>
    <w:rsid w:val="00B1337A"/>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FootnoteText">
    <w:name w:val="footnote text"/>
    <w:basedOn w:val="Normal"/>
    <w:link w:val="FootnoteTextChar"/>
    <w:uiPriority w:val="99"/>
    <w:semiHidden/>
    <w:unhideWhenUsed/>
    <w:rsid w:val="00882E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82EF1"/>
    <w:rPr>
      <w:sz w:val="20"/>
      <w:szCs w:val="20"/>
    </w:rPr>
  </w:style>
  <w:style w:type="character" w:styleId="FootnoteReference">
    <w:name w:val="footnote reference"/>
    <w:basedOn w:val="DefaultParagraphFont"/>
    <w:uiPriority w:val="99"/>
    <w:semiHidden/>
    <w:unhideWhenUsed/>
    <w:rsid w:val="00882EF1"/>
    <w:rPr>
      <w:vertAlign w:val="superscript"/>
    </w:rPr>
  </w:style>
  <w:style w:type="paragraph" w:styleId="NormalWeb">
    <w:name w:val="Normal (Web)"/>
    <w:basedOn w:val="Normal"/>
    <w:uiPriority w:val="99"/>
    <w:semiHidden/>
    <w:unhideWhenUsed/>
    <w:rsid w:val="00120940"/>
    <w:pPr>
      <w:spacing w:before="100" w:beforeAutospacing="1" w:after="100" w:afterAutospacing="1" w:line="240" w:lineRule="auto"/>
    </w:pPr>
    <w:rPr>
      <w:rFonts w:ascii="Times New Roman" w:eastAsia="Times New Roman" w:hAnsi="Times New Roman" w:cs="Times New Roman"/>
      <w:sz w:val="24"/>
      <w:szCs w:val="24"/>
      <w:lang w:val="de-CH" w:eastAsia="de-CH"/>
    </w:rPr>
  </w:style>
  <w:style w:type="paragraph" w:styleId="Revision">
    <w:name w:val="Revision"/>
    <w:hidden/>
    <w:uiPriority w:val="99"/>
    <w:semiHidden/>
    <w:rsid w:val="00E07DA9"/>
    <w:pPr>
      <w:spacing w:after="0" w:line="240" w:lineRule="auto"/>
    </w:pPr>
  </w:style>
  <w:style w:type="character" w:styleId="CommentReference">
    <w:name w:val="annotation reference"/>
    <w:basedOn w:val="DefaultParagraphFont"/>
    <w:uiPriority w:val="99"/>
    <w:semiHidden/>
    <w:unhideWhenUsed/>
    <w:rsid w:val="009B6DA2"/>
    <w:rPr>
      <w:sz w:val="16"/>
      <w:szCs w:val="16"/>
    </w:rPr>
  </w:style>
  <w:style w:type="paragraph" w:styleId="CommentText">
    <w:name w:val="annotation text"/>
    <w:basedOn w:val="Normal"/>
    <w:link w:val="CommentTextChar"/>
    <w:uiPriority w:val="99"/>
    <w:unhideWhenUsed/>
    <w:rsid w:val="009B6DA2"/>
    <w:pPr>
      <w:spacing w:line="240" w:lineRule="auto"/>
    </w:pPr>
    <w:rPr>
      <w:sz w:val="20"/>
      <w:szCs w:val="20"/>
    </w:rPr>
  </w:style>
  <w:style w:type="character" w:customStyle="1" w:styleId="CommentTextChar">
    <w:name w:val="Comment Text Char"/>
    <w:basedOn w:val="DefaultParagraphFont"/>
    <w:link w:val="CommentText"/>
    <w:uiPriority w:val="99"/>
    <w:rsid w:val="009B6DA2"/>
    <w:rPr>
      <w:sz w:val="20"/>
      <w:szCs w:val="20"/>
    </w:rPr>
  </w:style>
  <w:style w:type="paragraph" w:styleId="CommentSubject">
    <w:name w:val="annotation subject"/>
    <w:basedOn w:val="CommentText"/>
    <w:next w:val="CommentText"/>
    <w:link w:val="CommentSubjectChar"/>
    <w:uiPriority w:val="99"/>
    <w:semiHidden/>
    <w:unhideWhenUsed/>
    <w:rsid w:val="009B6DA2"/>
    <w:rPr>
      <w:b/>
      <w:bCs/>
    </w:rPr>
  </w:style>
  <w:style w:type="character" w:customStyle="1" w:styleId="CommentSubjectChar">
    <w:name w:val="Comment Subject Char"/>
    <w:basedOn w:val="CommentTextChar"/>
    <w:link w:val="CommentSubject"/>
    <w:uiPriority w:val="99"/>
    <w:semiHidden/>
    <w:rsid w:val="009B6DA2"/>
    <w:rPr>
      <w:b/>
      <w:bCs/>
      <w:sz w:val="20"/>
      <w:szCs w:val="20"/>
    </w:rPr>
  </w:style>
  <w:style w:type="character" w:styleId="Hyperlink">
    <w:name w:val="Hyperlink"/>
    <w:basedOn w:val="DefaultParagraphFont"/>
    <w:uiPriority w:val="99"/>
    <w:unhideWhenUsed/>
    <w:rsid w:val="002467E9"/>
    <w:rPr>
      <w:color w:val="0000FF" w:themeColor="hyperlink"/>
      <w:u w:val="single"/>
    </w:rPr>
  </w:style>
  <w:style w:type="character" w:styleId="UnresolvedMention">
    <w:name w:val="Unresolved Mention"/>
    <w:basedOn w:val="DefaultParagraphFont"/>
    <w:uiPriority w:val="99"/>
    <w:semiHidden/>
    <w:unhideWhenUsed/>
    <w:rsid w:val="002467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037066">
      <w:bodyDiv w:val="1"/>
      <w:marLeft w:val="0"/>
      <w:marRight w:val="0"/>
      <w:marTop w:val="0"/>
      <w:marBottom w:val="0"/>
      <w:divBdr>
        <w:top w:val="none" w:sz="0" w:space="0" w:color="auto"/>
        <w:left w:val="none" w:sz="0" w:space="0" w:color="auto"/>
        <w:bottom w:val="none" w:sz="0" w:space="0" w:color="auto"/>
        <w:right w:val="none" w:sz="0" w:space="0" w:color="auto"/>
      </w:divBdr>
    </w:div>
    <w:div w:id="555895026">
      <w:bodyDiv w:val="1"/>
      <w:marLeft w:val="0"/>
      <w:marRight w:val="0"/>
      <w:marTop w:val="0"/>
      <w:marBottom w:val="0"/>
      <w:divBdr>
        <w:top w:val="none" w:sz="0" w:space="0" w:color="auto"/>
        <w:left w:val="none" w:sz="0" w:space="0" w:color="auto"/>
        <w:bottom w:val="none" w:sz="0" w:space="0" w:color="auto"/>
        <w:right w:val="none" w:sz="0" w:space="0" w:color="auto"/>
      </w:divBdr>
    </w:div>
    <w:div w:id="825828849">
      <w:bodyDiv w:val="1"/>
      <w:marLeft w:val="0"/>
      <w:marRight w:val="0"/>
      <w:marTop w:val="0"/>
      <w:marBottom w:val="0"/>
      <w:divBdr>
        <w:top w:val="none" w:sz="0" w:space="0" w:color="auto"/>
        <w:left w:val="none" w:sz="0" w:space="0" w:color="auto"/>
        <w:bottom w:val="none" w:sz="0" w:space="0" w:color="auto"/>
        <w:right w:val="none" w:sz="0" w:space="0" w:color="auto"/>
      </w:divBdr>
    </w:div>
    <w:div w:id="1142505918">
      <w:bodyDiv w:val="1"/>
      <w:marLeft w:val="0"/>
      <w:marRight w:val="0"/>
      <w:marTop w:val="0"/>
      <w:marBottom w:val="0"/>
      <w:divBdr>
        <w:top w:val="none" w:sz="0" w:space="0" w:color="auto"/>
        <w:left w:val="none" w:sz="0" w:space="0" w:color="auto"/>
        <w:bottom w:val="none" w:sz="0" w:space="0" w:color="auto"/>
        <w:right w:val="none" w:sz="0" w:space="0" w:color="auto"/>
      </w:divBdr>
    </w:div>
    <w:div w:id="1875263541">
      <w:bodyDiv w:val="1"/>
      <w:marLeft w:val="0"/>
      <w:marRight w:val="0"/>
      <w:marTop w:val="0"/>
      <w:marBottom w:val="0"/>
      <w:divBdr>
        <w:top w:val="none" w:sz="0" w:space="0" w:color="auto"/>
        <w:left w:val="none" w:sz="0" w:space="0" w:color="auto"/>
        <w:bottom w:val="none" w:sz="0" w:space="0" w:color="auto"/>
        <w:right w:val="none" w:sz="0" w:space="0" w:color="auto"/>
      </w:divBdr>
    </w:div>
    <w:div w:id="1918241652">
      <w:bodyDiv w:val="1"/>
      <w:marLeft w:val="0"/>
      <w:marRight w:val="0"/>
      <w:marTop w:val="0"/>
      <w:marBottom w:val="0"/>
      <w:divBdr>
        <w:top w:val="none" w:sz="0" w:space="0" w:color="auto"/>
        <w:left w:val="none" w:sz="0" w:space="0" w:color="auto"/>
        <w:bottom w:val="none" w:sz="0" w:space="0" w:color="auto"/>
        <w:right w:val="none" w:sz="0" w:space="0" w:color="auto"/>
      </w:divBdr>
    </w:div>
    <w:div w:id="20048167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1987</Words>
  <Characters>12521</Characters>
  <Application>Microsoft Office Word</Application>
  <DocSecurity>0</DocSecurity>
  <Lines>104</Lines>
  <Paragraphs>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14480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Suruceanu Valentina EDA SUVAL</cp:lastModifiedBy>
  <cp:revision>4</cp:revision>
  <cp:lastPrinted>2025-12-15T07:00:00Z</cp:lastPrinted>
  <dcterms:created xsi:type="dcterms:W3CDTF">2025-12-15T13:17:00Z</dcterms:created>
  <dcterms:modified xsi:type="dcterms:W3CDTF">2025-12-18T08:07:00Z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808400d-548e-4fde-94a9-3a9e4de018ac_Enabled">
    <vt:lpwstr>true</vt:lpwstr>
  </property>
  <property fmtid="{D5CDD505-2E9C-101B-9397-08002B2CF9AE}" pid="3" name="MSIP_Label_9808400d-548e-4fde-94a9-3a9e4de018ac_SetDate">
    <vt:lpwstr>2025-12-01T14:46:52Z</vt:lpwstr>
  </property>
  <property fmtid="{D5CDD505-2E9C-101B-9397-08002B2CF9AE}" pid="4" name="MSIP_Label_9808400d-548e-4fde-94a9-3a9e4de018ac_Method">
    <vt:lpwstr>Privileged</vt:lpwstr>
  </property>
  <property fmtid="{D5CDD505-2E9C-101B-9397-08002B2CF9AE}" pid="5" name="MSIP_Label_9808400d-548e-4fde-94a9-3a9e4de018ac_Name">
    <vt:lpwstr>L2</vt:lpwstr>
  </property>
  <property fmtid="{D5CDD505-2E9C-101B-9397-08002B2CF9AE}" pid="6" name="MSIP_Label_9808400d-548e-4fde-94a9-3a9e4de018ac_SiteId">
    <vt:lpwstr>02e3c4d5-27fd-43fe-8203-97710d02fae4</vt:lpwstr>
  </property>
  <property fmtid="{D5CDD505-2E9C-101B-9397-08002B2CF9AE}" pid="7" name="MSIP_Label_9808400d-548e-4fde-94a9-3a9e4de018ac_ActionId">
    <vt:lpwstr>1f66806a-e202-4567-b255-aa1c8f761d9b</vt:lpwstr>
  </property>
  <property fmtid="{D5CDD505-2E9C-101B-9397-08002B2CF9AE}" pid="8" name="MSIP_Label_9808400d-548e-4fde-94a9-3a9e4de018ac_ContentBits">
    <vt:lpwstr>0</vt:lpwstr>
  </property>
</Properties>
</file>